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《无障碍音视频出版物通用技术规范》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中国盲文出版社、中国传媒大学、山东电子音像出版社有限公司、北京臻鼎科技有限公司、上海音像教育出版社有限责任公司、中国电影科学技术研究所（中宣部电影技术质量检测所）、人民教育电子音像出版社有限公司、北京时代华文书局有限公司、中国聋人协会、中国新闻出版研究院、北京甲骨今声科技有限公司、百视通网络电视技术发展有限公司、湖南电子音像出版社有限责任公司、中国科学技术大学出版社有限责任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日　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F65EC21B-4296-4D5B-B694-4847B028435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43DCA3B-D451-4D88-8563-839ABC37C10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9C60E55-63A7-4EC5-A94C-3165C38D956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兰亭细黑_GBK">
    <w:altName w:val="华文细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INPro-Bold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uperclarendon Bold">
    <w:altName w:val="Charis SIL"/>
    <w:panose1 w:val="02060605060000020003"/>
    <w:charset w:val="00"/>
    <w:family w:val="auto"/>
    <w:pitch w:val="default"/>
    <w:sig w:usb0="00000000" w:usb1="00000000" w:usb2="00000000" w:usb3="00000000" w:csb0="20000183" w:csb1="00000000"/>
  </w:font>
  <w:font w:name="Superclarendon Light">
    <w:altName w:val="Charis SIL"/>
    <w:panose1 w:val="02060605060000020003"/>
    <w:charset w:val="00"/>
    <w:family w:val="auto"/>
    <w:pitch w:val="default"/>
    <w:sig w:usb0="00000000" w:usb1="00000000" w:usb2="00000000" w:usb3="00000000" w:csb0="2000018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haris SIL">
    <w:panose1 w:val="02000500060000020004"/>
    <w:charset w:val="00"/>
    <w:family w:val="auto"/>
    <w:pitch w:val="default"/>
    <w:sig w:usb0="A00002FF" w:usb1="5200A1FF" w:usb2="02000009" w:usb3="00000000" w:csb0="20000197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00"/>
    <w:family w:val="auto"/>
    <w:pitch w:val="default"/>
    <w:sig w:usb0="00000000" w:usb1="00000000" w:usb2="00000000" w:usb3="00000000" w:csb0="00000000" w:csb1="00000000"/>
    <w:embedRegular r:id="rId4" w:fontKey="{9EE396FB-5792-40AA-9914-643E9DF788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349</Words>
  <Characters>360</Characters>
  <Lines>15</Lines>
  <Paragraphs>4</Paragraphs>
  <ScaleCrop>false</ScaleCrop>
  <LinksUpToDate>false</LinksUpToDate>
  <CharactersWithSpaces>439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2025-09-26T03:36:05Z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