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sz w:val="44"/>
          <w:szCs w:val="44"/>
        </w:rPr>
      </w:pPr>
      <w:r>
        <w:rPr>
          <w:rFonts w:hint="eastAsia" w:ascii="方正小标宋简体" w:hAnsi="方正小标宋简体" w:eastAsia="方正小标宋简体"/>
          <w:sz w:val="44"/>
          <w:szCs w:val="44"/>
        </w:rPr>
        <w:t>新闻</w:t>
      </w:r>
      <w:r>
        <w:rPr>
          <w:rFonts w:ascii="方正小标宋简体" w:hAnsi="方正小标宋简体" w:eastAsia="方正小标宋简体"/>
          <w:sz w:val="44"/>
          <w:szCs w:val="44"/>
        </w:rPr>
        <w:t>出版</w:t>
      </w:r>
      <w:r>
        <w:rPr>
          <w:rFonts w:hint="eastAsia" w:ascii="方正小标宋简体" w:hAnsi="方正小标宋简体" w:eastAsia="方正小标宋简体"/>
          <w:sz w:val="44"/>
          <w:szCs w:val="44"/>
        </w:rPr>
        <w:t>行业标准</w:t>
      </w:r>
    </w:p>
    <w:p>
      <w:pPr>
        <w:jc w:val="center"/>
        <w:rPr>
          <w:rFonts w:hint="eastAsia" w:ascii="方正小标宋简体" w:hAnsi="方正小标宋简体" w:eastAsia="方正小标宋简体"/>
          <w:sz w:val="44"/>
          <w:szCs w:val="44"/>
        </w:rPr>
      </w:pPr>
      <w:r>
        <w:rPr>
          <w:rFonts w:hint="eastAsia" w:ascii="方正小标宋简体" w:hAnsi="方正小标宋简体" w:eastAsia="方正小标宋简体"/>
          <w:sz w:val="44"/>
          <w:szCs w:val="44"/>
        </w:rPr>
        <w:t>《英文图书编辑出版规则》（征求意见稿）</w:t>
      </w:r>
    </w:p>
    <w:p>
      <w:pPr>
        <w:jc w:val="center"/>
        <w:rPr>
          <w:rFonts w:hint="eastAsia" w:ascii="方正小标宋简体" w:hAnsi="方正小标宋简体" w:eastAsia="方正小标宋简体"/>
          <w:sz w:val="44"/>
          <w:szCs w:val="44"/>
        </w:rPr>
      </w:pPr>
      <w:r>
        <w:rPr>
          <w:rFonts w:hint="eastAsia" w:ascii="方正小标宋简体" w:hAnsi="方正小标宋简体" w:eastAsia="方正小标宋简体"/>
          <w:sz w:val="44"/>
          <w:szCs w:val="44"/>
        </w:rPr>
        <w:t>标准编制说明</w:t>
      </w:r>
    </w:p>
    <w:p>
      <w:pPr>
        <w:pStyle w:val="2"/>
        <w:numPr>
          <w:ilvl w:val="0"/>
          <w:numId w:val="1"/>
        </w:numPr>
        <w:spacing w:line="360" w:lineRule="auto"/>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工作简况</w:t>
      </w:r>
    </w:p>
    <w:p>
      <w:pPr>
        <w:pStyle w:val="2"/>
        <w:numPr>
          <w:ilvl w:val="0"/>
          <w:numId w:val="2"/>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任务来源</w:t>
      </w:r>
    </w:p>
    <w:p>
      <w:pPr>
        <w:spacing w:line="360" w:lineRule="auto"/>
        <w:ind w:firstLine="64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随着全球化进程的加速，各国之间的交流和合作日益密切。以外文图书为代表的对外出版物作为文化交流的方式之一，其重要性日益显现。首先，外文图书作为中国文化走出去的传播媒介，能够以国外读者看得懂的语言向国际社会展示我国的文化、科技、经济等方面的成就和发展水平，提升国家的软实力和国际影响力。其次外文图书不仅能够传播中国文化、宣传中国形象、弘扬中华文明等，还有助于打破西方国家的出版话语权垄断，构建多元参与、和而不同的世界出版话语体系，促进世界文化的交流融合、繁荣发展。最后，外文图书也为国内读者提供了更广阔的知识视野和文化体验，促进了国内外文化的交流与融合。加强外文图书的规范管理，是推动我国对外交流和合作的重要举措。</w:t>
      </w:r>
    </w:p>
    <w:p>
      <w:pPr>
        <w:spacing w:line="360" w:lineRule="auto"/>
        <w:ind w:firstLine="64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2024年12月4日，国家新闻出版署发布</w:t>
      </w:r>
      <w:bookmarkStart w:id="0" w:name="_Hlk213060912"/>
      <w:r>
        <w:rPr>
          <w:rFonts w:hint="eastAsia" w:asciiTheme="minorEastAsia" w:hAnsiTheme="minorEastAsia" w:eastAsiaTheme="minorEastAsia" w:cstheme="minorEastAsia"/>
          <w:sz w:val="24"/>
        </w:rPr>
        <w:t>《国家新闻出版署关于发布〈英文图书编辑出版规则〉等10项行业标准立项计划的通知》（国新出发函〔2024〕189号），</w:t>
      </w:r>
      <w:bookmarkEnd w:id="0"/>
      <w:r>
        <w:rPr>
          <w:rFonts w:hint="eastAsia" w:asciiTheme="minorEastAsia" w:hAnsiTheme="minorEastAsia" w:eastAsiaTheme="minorEastAsia" w:cstheme="minorEastAsia"/>
          <w:sz w:val="24"/>
        </w:rPr>
        <w:t>《英文图书编辑出版规则》为该批新立项的行业标准之一，计划编号为CY 202408。本标准归口全国新闻出版标准化技术委员会（SAC/TC 527）。</w:t>
      </w:r>
    </w:p>
    <w:p>
      <w:pPr>
        <w:numPr>
          <w:ilvl w:val="0"/>
          <w:numId w:val="3"/>
        </w:numPr>
        <w:adjustRightInd w:val="0"/>
        <w:snapToGrid w:val="0"/>
        <w:spacing w:line="360" w:lineRule="auto"/>
        <w:rPr>
          <w:rFonts w:hint="eastAsia" w:ascii="宋体" w:hAnsi="宋体" w:cs="宋体"/>
          <w:sz w:val="24"/>
        </w:rPr>
      </w:pPr>
      <w:r>
        <w:rPr>
          <w:rFonts w:hint="eastAsia" w:ascii="宋体" w:hAnsi="宋体" w:cs="宋体"/>
          <w:sz w:val="24"/>
        </w:rPr>
        <w:t>协作单位</w:t>
      </w:r>
    </w:p>
    <w:tbl>
      <w:tblPr>
        <w:tblStyle w:val="10"/>
        <w:tblW w:w="8393" w:type="dxa"/>
        <w:jc w:val="center"/>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32"/>
        <w:gridCol w:w="2698"/>
        <w:gridCol w:w="486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2698"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起草组</w:t>
            </w:r>
          </w:p>
        </w:tc>
        <w:tc>
          <w:tcPr>
            <w:tcW w:w="4863"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单位</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p>
        </w:tc>
        <w:tc>
          <w:tcPr>
            <w:tcW w:w="2698"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组长单位</w:t>
            </w:r>
          </w:p>
        </w:tc>
        <w:tc>
          <w:tcPr>
            <w:tcW w:w="4863"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外文出版社有限责任公司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p>
        </w:tc>
        <w:tc>
          <w:tcPr>
            <w:tcW w:w="2698" w:type="dxa"/>
            <w:vMerge w:val="restart"/>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副组长单位</w:t>
            </w:r>
          </w:p>
          <w:p>
            <w:pPr>
              <w:pStyle w:val="2"/>
              <w:spacing w:line="24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highlight w:val="none"/>
                <w:lang w:eastAsia="zh-CN"/>
              </w:rPr>
              <w:t>（排名不分先后）</w:t>
            </w:r>
          </w:p>
          <w:p>
            <w:pPr>
              <w:pStyle w:val="2"/>
              <w:spacing w:line="240" w:lineRule="auto"/>
              <w:jc w:val="center"/>
              <w:rPr>
                <w:rFonts w:hint="eastAsia" w:asciiTheme="minorEastAsia" w:hAnsiTheme="minorEastAsia" w:eastAsiaTheme="minorEastAsia" w:cstheme="minorEastAsia"/>
              </w:rPr>
            </w:pPr>
          </w:p>
        </w:tc>
        <w:tc>
          <w:tcPr>
            <w:tcW w:w="4863"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华语教学出版社有限责任公司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p>
        </w:tc>
        <w:tc>
          <w:tcPr>
            <w:tcW w:w="2698" w:type="dxa"/>
            <w:vMerge w:val="continue"/>
            <w:vAlign w:val="center"/>
          </w:tcPr>
          <w:p>
            <w:pPr>
              <w:pStyle w:val="2"/>
              <w:spacing w:line="240" w:lineRule="auto"/>
              <w:jc w:val="center"/>
              <w:rPr>
                <w:rFonts w:hint="eastAsia" w:asciiTheme="minorEastAsia" w:hAnsiTheme="minorEastAsia" w:eastAsiaTheme="minorEastAsia" w:cstheme="minorEastAsia"/>
              </w:rPr>
            </w:pPr>
          </w:p>
        </w:tc>
        <w:tc>
          <w:tcPr>
            <w:tcW w:w="4863"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外语教学与研究出版社有限公司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2698" w:type="dxa"/>
            <w:vMerge w:val="continue"/>
            <w:vAlign w:val="center"/>
          </w:tcPr>
          <w:p>
            <w:pPr>
              <w:pStyle w:val="2"/>
              <w:spacing w:line="240" w:lineRule="auto"/>
              <w:jc w:val="center"/>
              <w:rPr>
                <w:rFonts w:hint="eastAsia" w:asciiTheme="minorEastAsia" w:hAnsiTheme="minorEastAsia" w:eastAsiaTheme="minorEastAsia" w:cstheme="minorEastAsia"/>
              </w:rPr>
            </w:pPr>
          </w:p>
        </w:tc>
        <w:tc>
          <w:tcPr>
            <w:tcW w:w="4863"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人民教育出版社有限公司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p>
        </w:tc>
        <w:tc>
          <w:tcPr>
            <w:tcW w:w="2698" w:type="dxa"/>
            <w:vMerge w:val="restart"/>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成员单位</w:t>
            </w:r>
          </w:p>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lang w:eastAsia="zh-CN"/>
              </w:rPr>
              <w:t>（排名不分先后）</w:t>
            </w:r>
          </w:p>
          <w:p>
            <w:pPr>
              <w:pStyle w:val="2"/>
              <w:spacing w:line="240" w:lineRule="auto"/>
              <w:jc w:val="center"/>
              <w:rPr>
                <w:rFonts w:hint="eastAsia" w:asciiTheme="minorEastAsia" w:hAnsiTheme="minorEastAsia" w:eastAsiaTheme="minorEastAsia" w:cstheme="minorEastAsia"/>
              </w:rPr>
            </w:pPr>
          </w:p>
        </w:tc>
        <w:tc>
          <w:tcPr>
            <w:tcW w:w="4863"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北京大学出版社有限公司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p>
        </w:tc>
        <w:tc>
          <w:tcPr>
            <w:tcW w:w="2698" w:type="dxa"/>
            <w:vMerge w:val="continue"/>
            <w:vAlign w:val="center"/>
          </w:tcPr>
          <w:p>
            <w:pPr>
              <w:pStyle w:val="2"/>
              <w:spacing w:line="240" w:lineRule="auto"/>
              <w:jc w:val="center"/>
              <w:rPr>
                <w:rFonts w:hint="eastAsia" w:asciiTheme="minorEastAsia" w:hAnsiTheme="minorEastAsia" w:eastAsiaTheme="minorEastAsia" w:cstheme="minorEastAsia"/>
              </w:rPr>
            </w:pPr>
          </w:p>
        </w:tc>
        <w:tc>
          <w:tcPr>
            <w:tcW w:w="4863"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新世界出版社有限责任公司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p>
        </w:tc>
        <w:tc>
          <w:tcPr>
            <w:tcW w:w="2698" w:type="dxa"/>
            <w:vMerge w:val="continue"/>
            <w:vAlign w:val="center"/>
          </w:tcPr>
          <w:p>
            <w:pPr>
              <w:pStyle w:val="2"/>
              <w:spacing w:line="240" w:lineRule="auto"/>
              <w:jc w:val="center"/>
              <w:rPr>
                <w:rFonts w:hint="eastAsia" w:asciiTheme="minorEastAsia" w:hAnsiTheme="minorEastAsia" w:eastAsiaTheme="minorEastAsia" w:cstheme="minorEastAsia"/>
              </w:rPr>
            </w:pPr>
          </w:p>
        </w:tc>
        <w:tc>
          <w:tcPr>
            <w:tcW w:w="4863"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中国标准化研究院</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8</w:t>
            </w:r>
          </w:p>
        </w:tc>
        <w:tc>
          <w:tcPr>
            <w:tcW w:w="2698" w:type="dxa"/>
            <w:vMerge w:val="continue"/>
            <w:vAlign w:val="center"/>
          </w:tcPr>
          <w:p>
            <w:pPr>
              <w:pStyle w:val="2"/>
              <w:spacing w:line="240" w:lineRule="auto"/>
              <w:jc w:val="center"/>
              <w:rPr>
                <w:rFonts w:hint="eastAsia" w:asciiTheme="minorEastAsia" w:hAnsiTheme="minorEastAsia" w:eastAsiaTheme="minorEastAsia" w:cstheme="minorEastAsia"/>
              </w:rPr>
            </w:pPr>
          </w:p>
        </w:tc>
        <w:tc>
          <w:tcPr>
            <w:tcW w:w="4863"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测绘出版社有限公司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2"/>
              <w:spacing w:line="24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9</w:t>
            </w:r>
          </w:p>
        </w:tc>
        <w:tc>
          <w:tcPr>
            <w:tcW w:w="2698" w:type="dxa"/>
            <w:vMerge w:val="continue"/>
            <w:vAlign w:val="center"/>
          </w:tcPr>
          <w:p>
            <w:pPr>
              <w:pStyle w:val="2"/>
              <w:spacing w:line="240" w:lineRule="auto"/>
              <w:jc w:val="center"/>
              <w:rPr>
                <w:rFonts w:hint="eastAsia" w:asciiTheme="minorEastAsia" w:hAnsiTheme="minorEastAsia" w:eastAsiaTheme="minorEastAsia" w:cstheme="minorEastAsia"/>
              </w:rPr>
            </w:pPr>
          </w:p>
        </w:tc>
        <w:tc>
          <w:tcPr>
            <w:tcW w:w="4863"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上海交通大学医学院附属瑞金医院</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val="en-US" w:eastAsia="zh-CN"/>
              </w:rPr>
              <w:t>0</w:t>
            </w:r>
          </w:p>
        </w:tc>
        <w:tc>
          <w:tcPr>
            <w:tcW w:w="2698" w:type="dxa"/>
            <w:vMerge w:val="continue"/>
            <w:vAlign w:val="center"/>
          </w:tcPr>
          <w:p>
            <w:pPr>
              <w:pStyle w:val="2"/>
              <w:spacing w:line="240" w:lineRule="auto"/>
              <w:jc w:val="center"/>
              <w:rPr>
                <w:rFonts w:hint="eastAsia" w:asciiTheme="minorEastAsia" w:hAnsiTheme="minorEastAsia" w:eastAsiaTheme="minorEastAsia" w:cstheme="minorEastAsia"/>
              </w:rPr>
            </w:pPr>
          </w:p>
        </w:tc>
        <w:tc>
          <w:tcPr>
            <w:tcW w:w="4863" w:type="dxa"/>
            <w:vAlign w:val="center"/>
          </w:tcPr>
          <w:p>
            <w:pPr>
              <w:pStyle w:val="2"/>
              <w:spacing w:line="24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中国科学技术大学出版社有限责任公司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32" w:type="dxa"/>
            <w:vAlign w:val="center"/>
          </w:tcPr>
          <w:p>
            <w:pPr>
              <w:pStyle w:val="2"/>
              <w:spacing w:line="24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11</w:t>
            </w:r>
          </w:p>
        </w:tc>
        <w:tc>
          <w:tcPr>
            <w:tcW w:w="2698" w:type="dxa"/>
            <w:vMerge w:val="continue"/>
            <w:vAlign w:val="center"/>
          </w:tcPr>
          <w:p>
            <w:pPr>
              <w:pStyle w:val="2"/>
              <w:spacing w:line="240" w:lineRule="auto"/>
              <w:jc w:val="center"/>
              <w:rPr>
                <w:rFonts w:hint="eastAsia" w:asciiTheme="minorEastAsia" w:hAnsiTheme="minorEastAsia" w:eastAsiaTheme="minorEastAsia" w:cstheme="minorEastAsia"/>
              </w:rPr>
            </w:pPr>
          </w:p>
        </w:tc>
        <w:tc>
          <w:tcPr>
            <w:tcW w:w="4863" w:type="dxa"/>
            <w:vAlign w:val="center"/>
          </w:tcPr>
          <w:p>
            <w:pPr>
              <w:pStyle w:val="2"/>
              <w:spacing w:line="24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highlight w:val="none"/>
                <w:lang w:eastAsia="zh-CN"/>
              </w:rPr>
              <w:t>中国新闻出版研究院</w:t>
            </w:r>
          </w:p>
        </w:tc>
      </w:tr>
    </w:tbl>
    <w:p>
      <w:pPr>
        <w:numPr>
          <w:ilvl w:val="0"/>
          <w:numId w:val="4"/>
        </w:numPr>
        <w:spacing w:line="360" w:lineRule="auto"/>
        <w:ind w:firstLine="48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主要工作过程</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1.预研阶段</w:t>
      </w:r>
    </w:p>
    <w:p>
      <w:pPr>
        <w:pStyle w:val="14"/>
        <w:spacing w:line="360" w:lineRule="auto"/>
        <w:ind w:firstLine="48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2023年，标准起草单位华语教学出版社牵头对拟编制的《英文图书编辑出版规则》进行了预调研，预调研内容包括：</w:t>
      </w:r>
    </w:p>
    <w:p>
      <w:pPr>
        <w:pStyle w:val="14"/>
        <w:spacing w:line="240" w:lineRule="exact"/>
        <w:ind w:firstLine="482"/>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项目背景</w:t>
      </w:r>
    </w:p>
    <w:p>
      <w:pPr>
        <w:pStyle w:val="14"/>
        <w:spacing w:line="240" w:lineRule="exact"/>
        <w:ind w:firstLine="720" w:firstLineChars="30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1）图书的重要性</w:t>
      </w:r>
    </w:p>
    <w:p>
      <w:pPr>
        <w:pStyle w:val="14"/>
        <w:spacing w:line="240" w:lineRule="exact"/>
        <w:ind w:firstLine="720" w:firstLineChars="30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2）图书出版规范的重要性</w:t>
      </w:r>
    </w:p>
    <w:p>
      <w:pPr>
        <w:pStyle w:val="14"/>
        <w:spacing w:line="240" w:lineRule="exact"/>
        <w:ind w:firstLine="720" w:firstLineChars="30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3）英文图书出版的重要性</w:t>
      </w:r>
    </w:p>
    <w:p>
      <w:pPr>
        <w:pStyle w:val="14"/>
        <w:spacing w:line="240" w:lineRule="exact"/>
        <w:ind w:firstLine="720" w:firstLineChars="30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4）英文出版物规范的重要性和必要性</w:t>
      </w:r>
    </w:p>
    <w:p>
      <w:pPr>
        <w:pStyle w:val="14"/>
        <w:spacing w:line="240" w:lineRule="exact"/>
        <w:ind w:firstLine="482"/>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国内对外出版物标准规范现状</w:t>
      </w:r>
    </w:p>
    <w:p>
      <w:pPr>
        <w:pStyle w:val="14"/>
        <w:spacing w:line="240" w:lineRule="exact"/>
        <w:ind w:firstLine="720" w:firstLineChars="30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1）英文出版物的定义</w:t>
      </w:r>
    </w:p>
    <w:p>
      <w:pPr>
        <w:pStyle w:val="14"/>
        <w:spacing w:line="240" w:lineRule="exact"/>
        <w:ind w:firstLine="720" w:firstLineChars="30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2）现有国内出版物标准规范情况</w:t>
      </w:r>
    </w:p>
    <w:p>
      <w:pPr>
        <w:pStyle w:val="14"/>
        <w:spacing w:line="240" w:lineRule="exact"/>
        <w:ind w:firstLine="720" w:firstLineChars="30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3）国内出版物不同级别标准现状分析</w:t>
      </w:r>
    </w:p>
    <w:p>
      <w:pPr>
        <w:pStyle w:val="14"/>
        <w:spacing w:line="240" w:lineRule="exact"/>
        <w:ind w:firstLine="482"/>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制定英文出版物规范标准的必要性</w:t>
      </w:r>
    </w:p>
    <w:p>
      <w:pPr>
        <w:pStyle w:val="14"/>
        <w:spacing w:line="240" w:lineRule="exact"/>
        <w:ind w:firstLine="720" w:firstLineChars="30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1）我国对外出版物在工作流程及质量管理方面现存的问题</w:t>
      </w:r>
    </w:p>
    <w:p>
      <w:pPr>
        <w:pStyle w:val="14"/>
        <w:spacing w:line="240" w:lineRule="exact"/>
        <w:ind w:firstLine="720" w:firstLineChars="30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2）国外出版物规范的基本情况</w:t>
      </w:r>
    </w:p>
    <w:p>
      <w:pPr>
        <w:pStyle w:val="14"/>
        <w:spacing w:line="240" w:lineRule="exact"/>
        <w:ind w:firstLine="482"/>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对外出版物规范标准制定及实施的建议</w:t>
      </w:r>
    </w:p>
    <w:p>
      <w:pPr>
        <w:pStyle w:val="14"/>
        <w:spacing w:line="240" w:lineRule="exact"/>
        <w:ind w:firstLine="482"/>
        <w:rPr>
          <w:rFonts w:hint="eastAsia" w:asciiTheme="minorEastAsia" w:hAnsiTheme="minorEastAsia" w:eastAsiaTheme="minorEastAsia" w:cstheme="minorEastAsia"/>
          <w:kern w:val="2"/>
        </w:rPr>
      </w:pPr>
    </w:p>
    <w:p>
      <w:pPr>
        <w:pStyle w:val="14"/>
        <w:spacing w:line="360" w:lineRule="auto"/>
        <w:ind w:firstLine="48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通过线下实地考察、走访、搜集素材，线上数据采集、提炼分析相关参考资料等方式，对国内现有对外出版的现状从出版流程到出版物质量等方面进行了调研分析。同时，调研也对国外不同国家区域的出版行业的相关标准规范情况进行了调研分析，并通过上述分析进一步论证了编制《中国对外出版物标准规范》的重要性、必要性，以及由外文局牵头编制该标准规范的可行性。</w:t>
      </w:r>
    </w:p>
    <w:p>
      <w:pPr>
        <w:pStyle w:val="14"/>
        <w:spacing w:line="360" w:lineRule="auto"/>
        <w:ind w:firstLine="48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本次预调研使我们对国内的对外图书出版的基本情况有了更加清晰的了解，同时也梳理了国内现行有关图书出版的法律、法规，以及各级别的标准规范。调研报告着重分析、指出了我国图书出版行业现行的质量管理体系、内容文字等标准规范与面向海外读者以外文出版的对外出版物之间的不匹配情况，同时也指出了对外出版亟需规范的现状。</w:t>
      </w:r>
    </w:p>
    <w:p>
      <w:pPr>
        <w:pStyle w:val="14"/>
        <w:spacing w:line="360" w:lineRule="auto"/>
        <w:ind w:firstLine="480"/>
        <w:rPr>
          <w:rFonts w:hint="eastAsia" w:asciiTheme="minorEastAsia" w:hAnsiTheme="minorEastAsia" w:eastAsiaTheme="minorEastAsia" w:cstheme="minorEastAsia"/>
          <w:kern w:val="2"/>
          <w:highlight w:val="none"/>
        </w:rPr>
      </w:pPr>
      <w:r>
        <w:rPr>
          <w:rFonts w:asciiTheme="minorEastAsia" w:hAnsiTheme="minorEastAsia" w:eastAsiaTheme="minorEastAsia" w:cstheme="minorEastAsia"/>
          <w:kern w:val="2"/>
        </w:rPr>
        <w:t>202</w:t>
      </w:r>
      <w:r>
        <w:rPr>
          <w:rFonts w:hint="eastAsia" w:asciiTheme="minorEastAsia" w:hAnsiTheme="minorEastAsia" w:eastAsiaTheme="minorEastAsia" w:cstheme="minorEastAsia"/>
          <w:kern w:val="2"/>
        </w:rPr>
        <w:t>4年4月，华语教学出版社向全国新闻出版标准化技术委员会提交标准草案，全国新闻出版标准化技术委员会秘书处对标准</w:t>
      </w:r>
      <w:bookmarkStart w:id="1" w:name="_GoBack"/>
      <w:r>
        <w:rPr>
          <w:rFonts w:hint="eastAsia" w:asciiTheme="minorEastAsia" w:hAnsiTheme="minorEastAsia" w:eastAsiaTheme="minorEastAsia" w:cstheme="minorEastAsia"/>
          <w:kern w:val="2"/>
          <w:highlight w:val="none"/>
        </w:rPr>
        <w:t>草案等材料进行初评。</w:t>
      </w:r>
    </w:p>
    <w:p>
      <w:pPr>
        <w:pStyle w:val="14"/>
        <w:spacing w:line="360" w:lineRule="auto"/>
        <w:ind w:firstLine="480"/>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highlight w:val="none"/>
        </w:rPr>
        <w:t>2024年5月，《英文图书编辑出版规则》（标准</w:t>
      </w:r>
      <w:r>
        <w:rPr>
          <w:rFonts w:hint="eastAsia" w:asciiTheme="minorEastAsia" w:hAnsiTheme="minorEastAsia" w:eastAsiaTheme="minorEastAsia" w:cstheme="minorEastAsia"/>
          <w:kern w:val="2"/>
          <w:highlight w:val="none"/>
          <w:lang w:eastAsia="zh-CN"/>
        </w:rPr>
        <w:t>提</w:t>
      </w:r>
      <w:r>
        <w:rPr>
          <w:rFonts w:hint="eastAsia" w:asciiTheme="minorEastAsia" w:hAnsiTheme="minorEastAsia" w:eastAsiaTheme="minorEastAsia" w:cstheme="minorEastAsia"/>
          <w:kern w:val="2"/>
          <w:highlight w:val="none"/>
        </w:rPr>
        <w:t>案）</w:t>
      </w:r>
      <w:bookmarkEnd w:id="1"/>
      <w:r>
        <w:rPr>
          <w:rFonts w:hint="eastAsia" w:asciiTheme="minorEastAsia" w:hAnsiTheme="minorEastAsia" w:eastAsiaTheme="minorEastAsia" w:cstheme="minorEastAsia"/>
          <w:kern w:val="2"/>
        </w:rPr>
        <w:t>等材料通过技术委员会委员投票，并由国家新闻出版标准化技术委员会上报国家新闻出版署标准化管理部门进行立项评估。</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2.立项阶段 </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经国家新闻出版署立项评估和公示，2024年12月4日，国家新闻出版署发布《国家新闻出版署关于发布〈英文图书编辑出版规则〉等10项行业标准立项计划的通知》（国新出发函〔2024〕189号），正式批准该标准立项。 </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3.起草阶段 </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2025年1月，全国新闻出版标准化技术委员会面向行业征集标准起草单位。</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2025年4月，全国新闻出版标准化技术委员会组织召开了标准启动会，标准起草组正式成立。</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2025年5月至2025年10月，起草组广泛听取了出版单位的意见、建议后，经过多次组内讨论，修改完善标准草案，确定了标准的框架和主要技术内容，形成了标准征求意见稿和相关附件。</w:t>
      </w:r>
    </w:p>
    <w:p>
      <w:pPr>
        <w:pStyle w:val="14"/>
        <w:spacing w:line="360" w:lineRule="auto"/>
        <w:ind w:firstLine="482"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b/>
        </w:rPr>
        <w:t>二、编制原则、主要内容及其确定依据</w:t>
      </w:r>
    </w:p>
    <w:p>
      <w:pPr>
        <w:pStyle w:val="14"/>
        <w:spacing w:line="360" w:lineRule="auto"/>
        <w:ind w:left="420" w:leftChars="20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（一）行业标准编制原则</w:t>
      </w:r>
    </w:p>
    <w:p>
      <w:pPr>
        <w:pStyle w:val="14"/>
        <w:spacing w:line="360" w:lineRule="auto"/>
        <w:ind w:firstLine="480" w:firstLineChars="20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本文件的编制遵循“科学性、适用性、规范性”原则，按照GB/T 1.1—2020《标准化工作导则 第1部分：标准化文件的结构和起草规则》的规定起草。</w:t>
      </w:r>
    </w:p>
    <w:p>
      <w:pPr>
        <w:pStyle w:val="14"/>
        <w:numPr>
          <w:ilvl w:val="255"/>
          <w:numId w:val="0"/>
        </w:numPr>
        <w:spacing w:line="360" w:lineRule="auto"/>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    1.满足行业使用的需求</w:t>
      </w:r>
    </w:p>
    <w:p>
      <w:pPr>
        <w:pStyle w:val="14"/>
        <w:numPr>
          <w:ilvl w:val="255"/>
          <w:numId w:val="0"/>
        </w:numPr>
        <w:spacing w:line="360" w:lineRule="auto"/>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    本标准规定了英文图书编辑出版的基本规则，适用于英文图书的编辑出版工作，也适用于中英双语或多语图书中的英文部分、含有英文的民族语图书中的英文部分的编辑出版。英文报刊出版、数字出版、网站等多媒体平台发布可参考使用。</w:t>
      </w:r>
    </w:p>
    <w:p>
      <w:pPr>
        <w:pStyle w:val="14"/>
        <w:numPr>
          <w:ilvl w:val="255"/>
          <w:numId w:val="0"/>
        </w:numPr>
        <w:spacing w:line="360" w:lineRule="auto"/>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    2.集思广益、深入研究</w:t>
      </w:r>
    </w:p>
    <w:p>
      <w:pPr>
        <w:pStyle w:val="14"/>
        <w:numPr>
          <w:ilvl w:val="255"/>
          <w:numId w:val="0"/>
        </w:numPr>
        <w:spacing w:line="360" w:lineRule="auto"/>
        <w:jc w:val="both"/>
        <w:rPr>
          <w:rFonts w:hint="eastAsia" w:asciiTheme="minorEastAsia" w:hAnsiTheme="minorEastAsia" w:eastAsiaTheme="minorEastAsia" w:cstheme="minorEastAsia"/>
          <w:b/>
        </w:rPr>
      </w:pPr>
      <w:r>
        <w:rPr>
          <w:rFonts w:hint="eastAsia" w:asciiTheme="minorEastAsia" w:hAnsiTheme="minorEastAsia" w:eastAsiaTheme="minorEastAsia" w:cstheme="minorEastAsia"/>
          <w:kern w:val="2"/>
        </w:rPr>
        <w:t xml:space="preserve">    标准起草是系统性、规范化的工作，涉及多个环节，需要多方资源协调共进，多听取吸收行业主管部门和涉及英文出版的各个专业出版社、综合出版社的意见建议，尽可能囊括方方面面的问题，完善草案。</w:t>
      </w:r>
      <w:r>
        <w:rPr>
          <w:rFonts w:ascii="仿宋" w:hAnsi="仿宋" w:eastAsia="仿宋" w:cs="仿宋"/>
          <w:sz w:val="30"/>
          <w:szCs w:val="30"/>
        </w:rPr>
        <w:t xml:space="preserve"> </w:t>
      </w:r>
    </w:p>
    <w:p>
      <w:pPr>
        <w:pStyle w:val="2"/>
        <w:numPr>
          <w:ilvl w:val="255"/>
          <w:numId w:val="0"/>
        </w:numPr>
        <w:spacing w:line="360" w:lineRule="auto"/>
        <w:ind w:left="561"/>
        <w:rPr>
          <w:rFonts w:hint="eastAsia" w:asciiTheme="minorEastAsia" w:hAnsiTheme="minorEastAsia" w:eastAsiaTheme="minorEastAsia" w:cstheme="minorEastAsia"/>
          <w:b/>
        </w:rPr>
      </w:pPr>
      <w:r>
        <w:rPr>
          <w:rFonts w:hint="eastAsia" w:asciiTheme="minorEastAsia" w:hAnsiTheme="minorEastAsia" w:eastAsiaTheme="minorEastAsia" w:cstheme="minorEastAsia"/>
          <w:bCs/>
        </w:rPr>
        <w:t>（二）主要内容及其确定依据</w:t>
      </w:r>
    </w:p>
    <w:p>
      <w:pPr>
        <w:pStyle w:val="3"/>
        <w:spacing w:line="360" w:lineRule="auto"/>
        <w:ind w:lef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1.范围</w:t>
      </w:r>
    </w:p>
    <w:p>
      <w:pPr>
        <w:pStyle w:val="16"/>
        <w:spacing w:line="360" w:lineRule="auto"/>
        <w:ind w:firstLine="480"/>
        <w:rPr>
          <w:rFonts w:hint="eastAsia" w:asciiTheme="minorEastAsia" w:hAnsiTheme="minorEastAsia" w:cstheme="minorEastAsia"/>
          <w:sz w:val="24"/>
          <w:szCs w:val="24"/>
        </w:rPr>
      </w:pPr>
      <w:r>
        <w:rPr>
          <w:rFonts w:hint="eastAsia" w:asciiTheme="minorEastAsia" w:hAnsiTheme="minorEastAsia" w:cstheme="minorEastAsia"/>
          <w:sz w:val="24"/>
          <w:szCs w:val="24"/>
        </w:rPr>
        <w:t>本标准适用于英文图书的编辑出版工作，也适用于中英双语或多语图书中的英文部分、含有英文的民族语图书中的英文部分的编辑出版。英文报刊出版、数字出版、网站等多媒体平台发布可参考使用。</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2.主要技术内容 </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本标准确立了英文图书编辑出版的通用规则，规定了英语图书编辑出版的流程、人员资质和基本编辑体例。</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3.主要内容确定的依据 </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本标准的制定按照科学、实用的原则，充分满足英文图书编辑出版的需求，提高英文图书出版质量，为编者、出版者和行业管理部门提供便利。</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 xml:space="preserve">本标准的起草充分考虑了出版单位的诉求和未来的发展趋势，在此基础上确定了本文件的主要技术指标。 </w:t>
      </w:r>
    </w:p>
    <w:p>
      <w:pPr>
        <w:pStyle w:val="14"/>
        <w:numPr>
          <w:ilvl w:val="0"/>
          <w:numId w:val="5"/>
        </w:numPr>
        <w:spacing w:line="360" w:lineRule="auto"/>
        <w:ind w:firstLine="482" w:firstLineChars="200"/>
        <w:jc w:val="both"/>
        <w:rPr>
          <w:rFonts w:hint="eastAsia" w:asciiTheme="minorEastAsia" w:hAnsiTheme="minorEastAsia" w:eastAsiaTheme="minorEastAsia" w:cstheme="minorEastAsia"/>
          <w:b/>
          <w:bCs/>
          <w:kern w:val="2"/>
        </w:rPr>
      </w:pPr>
      <w:r>
        <w:rPr>
          <w:rFonts w:hint="eastAsia" w:asciiTheme="minorEastAsia" w:hAnsiTheme="minorEastAsia" w:eastAsiaTheme="minorEastAsia" w:cstheme="minorEastAsia"/>
          <w:b/>
          <w:bCs/>
        </w:rPr>
        <w:t>预期的经济效益、社会效益</w:t>
      </w:r>
    </w:p>
    <w:p>
      <w:pPr>
        <w:pStyle w:val="14"/>
        <w:numPr>
          <w:ilvl w:val="255"/>
          <w:numId w:val="0"/>
        </w:numPr>
        <w:spacing w:line="360" w:lineRule="auto"/>
        <w:ind w:firstLine="480" w:firstLineChars="200"/>
        <w:jc w:val="both"/>
        <w:rPr>
          <w:rFonts w:hint="eastAsia" w:asciiTheme="minorEastAsia" w:hAnsiTheme="minorEastAsia" w:eastAsiaTheme="minorEastAsia" w:cstheme="minorEastAsia"/>
          <w:bCs/>
          <w:kern w:val="2"/>
        </w:rPr>
      </w:pPr>
      <w:r>
        <w:rPr>
          <w:rFonts w:hint="eastAsia" w:asciiTheme="minorEastAsia" w:hAnsiTheme="minorEastAsia" w:eastAsiaTheme="minorEastAsia" w:cstheme="minorEastAsia"/>
          <w:bCs/>
          <w:kern w:val="2"/>
        </w:rPr>
        <w:t>本标准的制定旨在促进英文图书出版规范化、专业化，为相关从业人员提供参考，减少差错隐患，提升编辑出版水平，从而提质增效。同时，本标准的制定有利于保障国内外读者获得权威、准确的信息的权益，满足他们对高质量英文图书的需求。</w:t>
      </w:r>
    </w:p>
    <w:p>
      <w:pPr>
        <w:pStyle w:val="14"/>
        <w:numPr>
          <w:ilvl w:val="0"/>
          <w:numId w:val="5"/>
        </w:numPr>
        <w:spacing w:line="360" w:lineRule="auto"/>
        <w:ind w:firstLine="482" w:firstLineChars="200"/>
        <w:jc w:val="both"/>
        <w:rPr>
          <w:rFonts w:hint="eastAsia" w:asciiTheme="minorEastAsia" w:hAnsiTheme="minorEastAsia" w:eastAsiaTheme="minorEastAsia" w:cstheme="minorEastAsia"/>
          <w:b/>
          <w:bCs/>
          <w:kern w:val="2"/>
        </w:rPr>
      </w:pPr>
      <w:r>
        <w:rPr>
          <w:rFonts w:ascii="宋体" w:hAnsi="宋体" w:eastAsia="宋体" w:cs="宋体"/>
          <w:b/>
        </w:rPr>
        <w:t xml:space="preserve">采用国际标准和国外先进标准的程度，以及与国外同类标准水平的对比情况，或与测试的国外样品、样机的有关数据对比情况 </w:t>
      </w:r>
    </w:p>
    <w:p>
      <w:pPr>
        <w:pStyle w:val="14"/>
        <w:numPr>
          <w:ilvl w:val="255"/>
          <w:numId w:val="0"/>
        </w:numPr>
        <w:spacing w:line="360" w:lineRule="auto"/>
        <w:ind w:firstLine="480"/>
        <w:jc w:val="both"/>
        <w:rPr>
          <w:rFonts w:hint="eastAsia" w:ascii="宋体" w:hAnsi="宋体" w:eastAsia="宋体" w:cs="宋体"/>
        </w:rPr>
      </w:pPr>
      <w:r>
        <w:rPr>
          <w:rFonts w:ascii="宋体" w:hAnsi="宋体" w:eastAsia="宋体" w:cs="宋体"/>
        </w:rPr>
        <w:t>（一）采用国际标准和国外先进标准的程度</w:t>
      </w:r>
    </w:p>
    <w:p>
      <w:pPr>
        <w:pStyle w:val="14"/>
        <w:numPr>
          <w:ilvl w:val="255"/>
          <w:numId w:val="0"/>
        </w:numPr>
        <w:spacing w:line="360" w:lineRule="auto"/>
        <w:ind w:firstLine="480"/>
        <w:jc w:val="both"/>
        <w:rPr>
          <w:rFonts w:hint="eastAsia" w:asciiTheme="minorEastAsia" w:hAnsiTheme="minorEastAsia" w:eastAsiaTheme="minorEastAsia" w:cstheme="minorEastAsia"/>
          <w:b/>
          <w:bCs/>
          <w:kern w:val="2"/>
          <w:highlight w:val="yellow"/>
        </w:rPr>
      </w:pPr>
      <w:r>
        <w:rPr>
          <w:rFonts w:ascii="宋体" w:hAnsi="宋体" w:eastAsia="宋体" w:cs="宋体"/>
        </w:rPr>
        <w:t xml:space="preserve">未采用同类国际标准和国外先进标准。 </w:t>
      </w:r>
    </w:p>
    <w:p>
      <w:pPr>
        <w:pStyle w:val="14"/>
        <w:numPr>
          <w:ilvl w:val="255"/>
          <w:numId w:val="0"/>
        </w:numPr>
        <w:spacing w:line="360" w:lineRule="auto"/>
        <w:jc w:val="both"/>
        <w:rPr>
          <w:rFonts w:hint="eastAsia" w:asciiTheme="minorEastAsia" w:hAnsiTheme="minorEastAsia" w:eastAsiaTheme="minorEastAsia" w:cstheme="minorEastAsia"/>
          <w:b/>
          <w:bCs/>
          <w:kern w:val="2"/>
        </w:rPr>
      </w:pPr>
      <w:r>
        <w:rPr>
          <w:rFonts w:hint="eastAsia" w:ascii="宋体" w:hAnsi="宋体" w:eastAsia="宋体" w:cs="宋体"/>
        </w:rPr>
        <w:t xml:space="preserve">    </w:t>
      </w:r>
      <w:r>
        <w:rPr>
          <w:rFonts w:ascii="宋体" w:hAnsi="宋体" w:eastAsia="宋体" w:cs="宋体"/>
        </w:rPr>
        <w:t xml:space="preserve">（二）与国外同类标准水平的对比情况 </w:t>
      </w:r>
    </w:p>
    <w:p>
      <w:pPr>
        <w:pStyle w:val="14"/>
        <w:numPr>
          <w:ilvl w:val="255"/>
          <w:numId w:val="0"/>
        </w:numPr>
        <w:spacing w:line="360" w:lineRule="auto"/>
        <w:ind w:firstLine="480"/>
        <w:jc w:val="both"/>
        <w:rPr>
          <w:rFonts w:hint="eastAsia" w:ascii="宋体" w:hAnsi="宋体" w:eastAsia="宋体" w:cs="宋体"/>
        </w:rPr>
      </w:pPr>
      <w:r>
        <w:rPr>
          <w:rFonts w:ascii="宋体" w:hAnsi="宋体" w:eastAsia="宋体" w:cs="宋体"/>
        </w:rPr>
        <w:t>无</w:t>
      </w:r>
      <w:r>
        <w:rPr>
          <w:rFonts w:hint="eastAsia" w:ascii="宋体" w:hAnsi="宋体" w:eastAsia="宋体" w:cs="宋体"/>
        </w:rPr>
        <w:t>。</w:t>
      </w:r>
    </w:p>
    <w:p>
      <w:pPr>
        <w:pStyle w:val="2"/>
        <w:numPr>
          <w:ilvl w:val="255"/>
          <w:numId w:val="0"/>
        </w:numPr>
        <w:spacing w:line="360" w:lineRule="auto"/>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 xml:space="preserve">    五、以国际标准为基础的起草情况，合规引用或者采用国际国外标准情况，未采用国际标准的原因</w:t>
      </w:r>
    </w:p>
    <w:p>
      <w:pPr>
        <w:pStyle w:val="3"/>
        <w:numPr>
          <w:ilvl w:val="0"/>
          <w:numId w:val="6"/>
        </w:numPr>
        <w:spacing w:line="360" w:lineRule="auto"/>
        <w:ind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以国际标准为基础的起草情况</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未见已发布的国际标准。</w:t>
      </w:r>
    </w:p>
    <w:p>
      <w:pPr>
        <w:pStyle w:val="3"/>
        <w:numPr>
          <w:ilvl w:val="0"/>
          <w:numId w:val="6"/>
        </w:numPr>
        <w:spacing w:line="360" w:lineRule="auto"/>
        <w:ind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合规引用或者采用国际国外标准情况</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无。</w:t>
      </w:r>
    </w:p>
    <w:p>
      <w:pPr>
        <w:pStyle w:val="3"/>
        <w:numPr>
          <w:ilvl w:val="0"/>
          <w:numId w:val="6"/>
        </w:numPr>
        <w:spacing w:line="360" w:lineRule="auto"/>
        <w:ind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未采用国际标准的原因</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没有相应的国际标准。</w:t>
      </w:r>
    </w:p>
    <w:p>
      <w:pPr>
        <w:pStyle w:val="3"/>
        <w:spacing w:line="360" w:lineRule="auto"/>
        <w:ind w:left="0" w:firstLine="0" w:firstLineChars="0"/>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 xml:space="preserve">    六、与有关的现行法律、法规和强制性标准的关系</w:t>
      </w:r>
    </w:p>
    <w:p>
      <w:pPr>
        <w:pStyle w:val="14"/>
        <w:spacing w:line="360" w:lineRule="auto"/>
        <w:ind w:firstLine="480" w:firstLineChars="200"/>
        <w:jc w:val="both"/>
        <w:rPr>
          <w:rFonts w:hint="eastAsia" w:asciiTheme="minorEastAsia" w:hAnsiTheme="minorEastAsia" w:eastAsiaTheme="minorEastAsia" w:cstheme="minorEastAsia"/>
          <w:kern w:val="2"/>
        </w:rPr>
      </w:pPr>
      <w:r>
        <w:rPr>
          <w:rFonts w:hint="eastAsia" w:asciiTheme="minorEastAsia" w:hAnsiTheme="minorEastAsia" w:eastAsiaTheme="minorEastAsia" w:cstheme="minorEastAsia"/>
          <w:kern w:val="2"/>
        </w:rPr>
        <w:t>本标准依据法律、法规的规定制定，并保证不与法律、法规相违背。本标准在制定过程中参考了下列标准：</w:t>
      </w:r>
    </w:p>
    <w:p>
      <w:pPr>
        <w:pStyle w:val="3"/>
        <w:spacing w:line="360" w:lineRule="auto"/>
        <w:ind w:left="420" w:leftChars="200" w:firstLine="0" w:firstLineChars="0"/>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GB/T 11668 图书和其它出版物的书脊规则</w:t>
      </w:r>
    </w:p>
    <w:p>
      <w:pPr>
        <w:pStyle w:val="3"/>
        <w:spacing w:line="360" w:lineRule="auto"/>
        <w:ind w:left="420" w:leftChars="200" w:firstLine="0" w:firstLineChars="0"/>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GB/T 12450 图书书名页</w:t>
      </w:r>
    </w:p>
    <w:p>
      <w:pPr>
        <w:pStyle w:val="3"/>
        <w:spacing w:line="360" w:lineRule="auto"/>
        <w:ind w:left="420" w:leftChars="200" w:firstLine="0" w:firstLineChars="0"/>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GB/T 28039 中国人名汉语拼音字母拼写规则</w:t>
      </w:r>
    </w:p>
    <w:p>
      <w:pPr>
        <w:pStyle w:val="3"/>
        <w:spacing w:line="360" w:lineRule="auto"/>
        <w:ind w:left="420" w:leftChars="200" w:firstLine="0" w:firstLineChars="0"/>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GB/T 38207 中国地理实体通名 汉语拼音字母拼写规则</w:t>
      </w:r>
    </w:p>
    <w:p>
      <w:pPr>
        <w:pStyle w:val="3"/>
        <w:spacing w:line="360" w:lineRule="auto"/>
        <w:ind w:left="420" w:leftChars="200" w:firstLine="0" w:firstLineChars="0"/>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GB/T 7714 信息与文献 参考文献著录规则</w:t>
      </w:r>
    </w:p>
    <w:p>
      <w:pPr>
        <w:pStyle w:val="3"/>
        <w:spacing w:line="360" w:lineRule="auto"/>
        <w:ind w:left="420" w:leftChars="200" w:firstLine="0" w:firstLineChars="0"/>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GB/T 12406 表示货币的代码</w:t>
      </w:r>
    </w:p>
    <w:p>
      <w:pPr>
        <w:pStyle w:val="3"/>
        <w:spacing w:line="360" w:lineRule="auto"/>
        <w:ind w:left="210" w:leftChars="100" w:firstLine="240" w:firstLineChars="100"/>
        <w:rPr>
          <w:rFonts w:asciiTheme="minorEastAsia" w:hAnsiTheme="minorEastAsia" w:eastAsiaTheme="minorEastAsia" w:cstheme="minorEastAsia"/>
          <w:color w:val="000000"/>
        </w:rPr>
      </w:pPr>
      <w:r>
        <w:rPr>
          <w:rFonts w:asciiTheme="minorEastAsia" w:hAnsiTheme="minorEastAsia" w:eastAsiaTheme="minorEastAsia" w:cstheme="minorEastAsia"/>
          <w:color w:val="000000"/>
        </w:rPr>
        <w:t>ISO/DIS 999: 2025 Information and documentation—Guidelines for the content, organization and presentation of indexes</w:t>
      </w:r>
    </w:p>
    <w:p>
      <w:pPr>
        <w:pStyle w:val="3"/>
        <w:spacing w:line="360" w:lineRule="auto"/>
        <w:ind w:left="482" w:firstLine="0" w:firstLineChars="0"/>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七、重大分歧意见的处理经过和依据</w:t>
      </w:r>
    </w:p>
    <w:p>
      <w:pPr>
        <w:pStyle w:val="3"/>
        <w:spacing w:line="360" w:lineRule="auto"/>
        <w:ind w:firstLine="0" w:firstLineChars="0"/>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 xml:space="preserve">无重大意见分歧。 </w:t>
      </w:r>
    </w:p>
    <w:p>
      <w:pPr>
        <w:pStyle w:val="2"/>
        <w:numPr>
          <w:ilvl w:val="255"/>
          <w:numId w:val="0"/>
        </w:numPr>
        <w:spacing w:line="360" w:lineRule="auto"/>
        <w:ind w:left="561"/>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八、涉及专利的有关说明</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本标准不涉及专利。</w:t>
      </w:r>
    </w:p>
    <w:p>
      <w:pPr>
        <w:pStyle w:val="3"/>
        <w:numPr>
          <w:ilvl w:val="0"/>
          <w:numId w:val="7"/>
        </w:numPr>
        <w:spacing w:line="360" w:lineRule="auto"/>
        <w:ind w:firstLine="0" w:firstLineChars="0"/>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实施标准的要求，以及组织措施、技术措施、过渡期和实施日期的建议等措施建议</w:t>
      </w:r>
    </w:p>
    <w:p>
      <w:pPr>
        <w:pStyle w:val="3"/>
        <w:numPr>
          <w:ilvl w:val="0"/>
          <w:numId w:val="8"/>
        </w:numPr>
        <w:spacing w:line="360" w:lineRule="auto"/>
        <w:ind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实施标准的要求</w:t>
      </w:r>
    </w:p>
    <w:p>
      <w:pPr>
        <w:adjustRightInd w:val="0"/>
        <w:snapToGrid w:val="0"/>
        <w:spacing w:line="360" w:lineRule="auto"/>
        <w:ind w:firstLine="480" w:firstLineChars="200"/>
        <w:rPr>
          <w:rFonts w:ascii="黑体" w:eastAsia="黑体"/>
          <w:kern w:val="0"/>
          <w:sz w:val="24"/>
        </w:rPr>
      </w:pPr>
      <w:r>
        <w:rPr>
          <w:rFonts w:hint="eastAsia"/>
          <w:sz w:val="24"/>
        </w:rPr>
        <w:t>建议本标准作为推荐性新闻出版行业标准发布。</w:t>
      </w:r>
    </w:p>
    <w:p>
      <w:pPr>
        <w:pStyle w:val="3"/>
        <w:numPr>
          <w:ilvl w:val="0"/>
          <w:numId w:val="8"/>
        </w:numPr>
        <w:spacing w:line="360" w:lineRule="auto"/>
        <w:ind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组织措施和技术措施</w:t>
      </w:r>
    </w:p>
    <w:p>
      <w:pPr>
        <w:adjustRightInd w:val="0"/>
        <w:snapToGrid w:val="0"/>
        <w:spacing w:line="360" w:lineRule="auto"/>
        <w:ind w:firstLine="480" w:firstLineChars="200"/>
        <w:rPr>
          <w:rFonts w:ascii="黑体" w:eastAsia="黑体"/>
          <w:kern w:val="0"/>
          <w:sz w:val="24"/>
        </w:rPr>
      </w:pPr>
      <w:r>
        <w:rPr>
          <w:rFonts w:hint="eastAsia" w:ascii="宋体" w:hAnsi="宋体" w:cs="宋体"/>
          <w:sz w:val="24"/>
        </w:rPr>
        <w:t>配合标准发布组织标准宣贯，编写“标准解读”或录制标准宣贯视频。详细解说标准形成的过程、条款制定的理由和标准条文内容，帮助标准使用者更好地理解标准、执行标准。总结标准经验，深入研究标准的应用，及时跟进标准应用中的问题，不断提高标准的有效性。</w:t>
      </w:r>
    </w:p>
    <w:p>
      <w:pPr>
        <w:pStyle w:val="3"/>
        <w:numPr>
          <w:ilvl w:val="0"/>
          <w:numId w:val="8"/>
        </w:numPr>
        <w:spacing w:line="360" w:lineRule="auto"/>
        <w:ind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过渡期和实施日期建议</w:t>
      </w:r>
    </w:p>
    <w:p>
      <w:pPr>
        <w:pStyle w:val="3"/>
        <w:spacing w:line="360" w:lineRule="auto"/>
        <w:ind w:firstLine="0" w:firstLineChars="0"/>
        <w:rPr>
          <w:rFonts w:hint="eastAsia" w:asciiTheme="minorEastAsia" w:hAnsiTheme="minorEastAsia" w:eastAsiaTheme="minorEastAsia" w:cstheme="minorEastAsia"/>
          <w:color w:val="000000"/>
        </w:rPr>
      </w:pPr>
      <w:r>
        <w:rPr>
          <w:rFonts w:hint="eastAsia" w:ascii="宋体" w:hAnsi="宋体" w:cs="宋体"/>
        </w:rPr>
        <w:t>建议本标准发布的过渡和实施日期3个月。</w:t>
      </w:r>
    </w:p>
    <w:p>
      <w:pPr>
        <w:pStyle w:val="3"/>
        <w:spacing w:line="360" w:lineRule="auto"/>
        <w:ind w:left="482" w:firstLine="0" w:firstLineChars="0"/>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十、其他应当说明的事项</w:t>
      </w:r>
    </w:p>
    <w:p>
      <w:pPr>
        <w:pStyle w:val="3"/>
        <w:spacing w:line="360" w:lineRule="auto"/>
        <w:ind w:firstLine="0" w:firstLineChars="0"/>
        <w:rPr>
          <w:szCs w:val="28"/>
        </w:rPr>
      </w:pPr>
      <w:r>
        <w:rPr>
          <w:rFonts w:hint="eastAsia" w:asciiTheme="minorEastAsia" w:hAnsiTheme="minorEastAsia" w:eastAsiaTheme="minorEastAsia" w:cstheme="minorEastAsia"/>
          <w:color w:val="000000"/>
        </w:rPr>
        <w:t>无。</w:t>
      </w:r>
    </w:p>
    <w:p>
      <w:pPr>
        <w:pStyle w:val="2"/>
        <w:spacing w:line="360" w:lineRule="auto"/>
        <w:jc w:val="righ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《英文图书编辑出版规则》标准起草组</w:t>
      </w:r>
    </w:p>
    <w:p>
      <w:pPr>
        <w:pStyle w:val="2"/>
        <w:wordWrap w:val="0"/>
        <w:spacing w:line="360" w:lineRule="auto"/>
        <w:jc w:val="right"/>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 xml:space="preserve">2025年10月 </w:t>
      </w:r>
    </w:p>
    <w:sectPr>
      <w:headerReference r:id="rId3" w:type="default"/>
      <w:type w:val="continuous"/>
      <w:pgSz w:w="11909" w:h="16834"/>
      <w:pgMar w:top="1440" w:right="1800" w:bottom="1440" w:left="1800" w:header="907" w:footer="907" w:gutter="0"/>
      <w:cols w:space="425"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Hiragino Sans GB">
    <w:altName w:val="Segoe Print"/>
    <w:panose1 w:val="00000000000000000000"/>
    <w:charset w:val="00"/>
    <w:family w:val="auto"/>
    <w:pitch w:val="default"/>
    <w:sig w:usb0="00000000" w:usb1="00000000" w:usb2="00000000" w:usb3="00000000" w:csb0="00040001" w:csb1="00000000"/>
  </w:font>
  <w:font w:name="AdobeHeitiStd-Regular">
    <w:altName w:val="宋体"/>
    <w:panose1 w:val="00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方正小标宋简体">
    <w:panose1 w:val="02000000000000000000"/>
    <w:charset w:val="86"/>
    <w:family w:val="auto"/>
    <w:pitch w:val="default"/>
    <w:sig w:usb0="A00002BF" w:usb1="184F6CFA" w:usb2="00000012"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C05FC8"/>
    <w:multiLevelType w:val="singleLevel"/>
    <w:tmpl w:val="DBC05FC8"/>
    <w:lvl w:ilvl="0" w:tentative="0">
      <w:start w:val="2"/>
      <w:numFmt w:val="chineseCounting"/>
      <w:suff w:val="nothing"/>
      <w:lvlText w:val="（%1）"/>
      <w:lvlJc w:val="left"/>
      <w:pPr>
        <w:ind w:left="360" w:firstLine="0"/>
      </w:pPr>
      <w:rPr>
        <w:rFonts w:hint="eastAsia"/>
      </w:rPr>
    </w:lvl>
  </w:abstractNum>
  <w:abstractNum w:abstractNumId="1">
    <w:nsid w:val="2F64498C"/>
    <w:multiLevelType w:val="multilevel"/>
    <w:tmpl w:val="2F64498C"/>
    <w:lvl w:ilvl="0" w:tentative="0">
      <w:start w:val="1"/>
      <w:numFmt w:val="japaneseCounting"/>
      <w:lvlText w:val="（%1）"/>
      <w:lvlJc w:val="left"/>
      <w:pPr>
        <w:ind w:left="1416" w:hanging="855"/>
      </w:pPr>
      <w:rPr>
        <w:rFonts w:hint="default"/>
      </w:rPr>
    </w:lvl>
    <w:lvl w:ilvl="1" w:tentative="0">
      <w:start w:val="1"/>
      <w:numFmt w:val="lowerLetter"/>
      <w:lvlText w:val="%2)"/>
      <w:lvlJc w:val="left"/>
      <w:pPr>
        <w:ind w:left="1401" w:hanging="420"/>
      </w:pPr>
    </w:lvl>
    <w:lvl w:ilvl="2" w:tentative="0">
      <w:start w:val="1"/>
      <w:numFmt w:val="lowerRoman"/>
      <w:lvlText w:val="%3."/>
      <w:lvlJc w:val="right"/>
      <w:pPr>
        <w:ind w:left="1821" w:hanging="420"/>
      </w:pPr>
    </w:lvl>
    <w:lvl w:ilvl="3" w:tentative="0">
      <w:start w:val="1"/>
      <w:numFmt w:val="decimal"/>
      <w:lvlText w:val="%4."/>
      <w:lvlJc w:val="left"/>
      <w:pPr>
        <w:ind w:left="2241" w:hanging="420"/>
      </w:pPr>
    </w:lvl>
    <w:lvl w:ilvl="4" w:tentative="0">
      <w:start w:val="1"/>
      <w:numFmt w:val="lowerLetter"/>
      <w:lvlText w:val="%5)"/>
      <w:lvlJc w:val="left"/>
      <w:pPr>
        <w:ind w:left="2661" w:hanging="420"/>
      </w:pPr>
    </w:lvl>
    <w:lvl w:ilvl="5" w:tentative="0">
      <w:start w:val="1"/>
      <w:numFmt w:val="lowerRoman"/>
      <w:lvlText w:val="%6."/>
      <w:lvlJc w:val="right"/>
      <w:pPr>
        <w:ind w:left="3081" w:hanging="420"/>
      </w:pPr>
    </w:lvl>
    <w:lvl w:ilvl="6" w:tentative="0">
      <w:start w:val="1"/>
      <w:numFmt w:val="decimal"/>
      <w:lvlText w:val="%7."/>
      <w:lvlJc w:val="left"/>
      <w:pPr>
        <w:ind w:left="3501" w:hanging="420"/>
      </w:pPr>
    </w:lvl>
    <w:lvl w:ilvl="7" w:tentative="0">
      <w:start w:val="1"/>
      <w:numFmt w:val="lowerLetter"/>
      <w:lvlText w:val="%8)"/>
      <w:lvlJc w:val="left"/>
      <w:pPr>
        <w:ind w:left="3921" w:hanging="420"/>
      </w:pPr>
    </w:lvl>
    <w:lvl w:ilvl="8" w:tentative="0">
      <w:start w:val="1"/>
      <w:numFmt w:val="lowerRoman"/>
      <w:lvlText w:val="%9."/>
      <w:lvlJc w:val="right"/>
      <w:pPr>
        <w:ind w:left="4341" w:hanging="420"/>
      </w:pPr>
    </w:lvl>
  </w:abstractNum>
  <w:abstractNum w:abstractNumId="2">
    <w:nsid w:val="3F1D097D"/>
    <w:multiLevelType w:val="multilevel"/>
    <w:tmpl w:val="3F1D097D"/>
    <w:lvl w:ilvl="0" w:tentative="0">
      <w:start w:val="1"/>
      <w:numFmt w:val="japaneseCounting"/>
      <w:lvlText w:val="%1、"/>
      <w:lvlJc w:val="left"/>
      <w:pPr>
        <w:ind w:left="1281" w:hanging="720"/>
      </w:pPr>
      <w:rPr>
        <w:rFonts w:hint="default"/>
      </w:rPr>
    </w:lvl>
    <w:lvl w:ilvl="1" w:tentative="0">
      <w:start w:val="1"/>
      <w:numFmt w:val="lowerLetter"/>
      <w:lvlText w:val="%2)"/>
      <w:lvlJc w:val="left"/>
      <w:pPr>
        <w:ind w:left="1401" w:hanging="420"/>
      </w:pPr>
    </w:lvl>
    <w:lvl w:ilvl="2" w:tentative="0">
      <w:start w:val="1"/>
      <w:numFmt w:val="lowerRoman"/>
      <w:lvlText w:val="%3."/>
      <w:lvlJc w:val="right"/>
      <w:pPr>
        <w:ind w:left="1821" w:hanging="420"/>
      </w:pPr>
    </w:lvl>
    <w:lvl w:ilvl="3" w:tentative="0">
      <w:start w:val="1"/>
      <w:numFmt w:val="decimal"/>
      <w:lvlText w:val="%4."/>
      <w:lvlJc w:val="left"/>
      <w:pPr>
        <w:ind w:left="2241" w:hanging="420"/>
      </w:pPr>
    </w:lvl>
    <w:lvl w:ilvl="4" w:tentative="0">
      <w:start w:val="1"/>
      <w:numFmt w:val="lowerLetter"/>
      <w:lvlText w:val="%5)"/>
      <w:lvlJc w:val="left"/>
      <w:pPr>
        <w:ind w:left="2661" w:hanging="420"/>
      </w:pPr>
    </w:lvl>
    <w:lvl w:ilvl="5" w:tentative="0">
      <w:start w:val="1"/>
      <w:numFmt w:val="lowerRoman"/>
      <w:lvlText w:val="%6."/>
      <w:lvlJc w:val="right"/>
      <w:pPr>
        <w:ind w:left="3081" w:hanging="420"/>
      </w:pPr>
    </w:lvl>
    <w:lvl w:ilvl="6" w:tentative="0">
      <w:start w:val="1"/>
      <w:numFmt w:val="decimal"/>
      <w:lvlText w:val="%7."/>
      <w:lvlJc w:val="left"/>
      <w:pPr>
        <w:ind w:left="3501" w:hanging="420"/>
      </w:pPr>
    </w:lvl>
    <w:lvl w:ilvl="7" w:tentative="0">
      <w:start w:val="1"/>
      <w:numFmt w:val="lowerLetter"/>
      <w:lvlText w:val="%8)"/>
      <w:lvlJc w:val="left"/>
      <w:pPr>
        <w:ind w:left="3921" w:hanging="420"/>
      </w:pPr>
    </w:lvl>
    <w:lvl w:ilvl="8" w:tentative="0">
      <w:start w:val="1"/>
      <w:numFmt w:val="lowerRoman"/>
      <w:lvlText w:val="%9."/>
      <w:lvlJc w:val="right"/>
      <w:pPr>
        <w:ind w:left="4341" w:hanging="420"/>
      </w:pPr>
    </w:lvl>
  </w:abstractNum>
  <w:abstractNum w:abstractNumId="3">
    <w:nsid w:val="4A7B0B2C"/>
    <w:multiLevelType w:val="multilevel"/>
    <w:tmpl w:val="4A7B0B2C"/>
    <w:lvl w:ilvl="0" w:tentative="0">
      <w:start w:val="1"/>
      <w:numFmt w:val="japaneseCounting"/>
      <w:lvlText w:val="（%1）"/>
      <w:lvlJc w:val="left"/>
      <w:pPr>
        <w:ind w:left="1416" w:hanging="855"/>
      </w:pPr>
      <w:rPr>
        <w:rFonts w:hint="default"/>
      </w:rPr>
    </w:lvl>
    <w:lvl w:ilvl="1" w:tentative="0">
      <w:start w:val="1"/>
      <w:numFmt w:val="lowerLetter"/>
      <w:lvlText w:val="%2)"/>
      <w:lvlJc w:val="left"/>
      <w:pPr>
        <w:ind w:left="1401" w:hanging="420"/>
      </w:pPr>
    </w:lvl>
    <w:lvl w:ilvl="2" w:tentative="0">
      <w:start w:val="1"/>
      <w:numFmt w:val="lowerRoman"/>
      <w:lvlText w:val="%3."/>
      <w:lvlJc w:val="right"/>
      <w:pPr>
        <w:ind w:left="1821" w:hanging="420"/>
      </w:pPr>
    </w:lvl>
    <w:lvl w:ilvl="3" w:tentative="0">
      <w:start w:val="1"/>
      <w:numFmt w:val="decimal"/>
      <w:lvlText w:val="%4."/>
      <w:lvlJc w:val="left"/>
      <w:pPr>
        <w:ind w:left="2241" w:hanging="420"/>
      </w:pPr>
    </w:lvl>
    <w:lvl w:ilvl="4" w:tentative="0">
      <w:start w:val="1"/>
      <w:numFmt w:val="lowerLetter"/>
      <w:lvlText w:val="%5)"/>
      <w:lvlJc w:val="left"/>
      <w:pPr>
        <w:ind w:left="2661" w:hanging="420"/>
      </w:pPr>
    </w:lvl>
    <w:lvl w:ilvl="5" w:tentative="0">
      <w:start w:val="1"/>
      <w:numFmt w:val="lowerRoman"/>
      <w:lvlText w:val="%6."/>
      <w:lvlJc w:val="right"/>
      <w:pPr>
        <w:ind w:left="3081" w:hanging="420"/>
      </w:pPr>
    </w:lvl>
    <w:lvl w:ilvl="6" w:tentative="0">
      <w:start w:val="1"/>
      <w:numFmt w:val="decimal"/>
      <w:lvlText w:val="%7."/>
      <w:lvlJc w:val="left"/>
      <w:pPr>
        <w:ind w:left="3501" w:hanging="420"/>
      </w:pPr>
    </w:lvl>
    <w:lvl w:ilvl="7" w:tentative="0">
      <w:start w:val="1"/>
      <w:numFmt w:val="lowerLetter"/>
      <w:lvlText w:val="%8)"/>
      <w:lvlJc w:val="left"/>
      <w:pPr>
        <w:ind w:left="3921" w:hanging="420"/>
      </w:pPr>
    </w:lvl>
    <w:lvl w:ilvl="8" w:tentative="0">
      <w:start w:val="1"/>
      <w:numFmt w:val="lowerRoman"/>
      <w:lvlText w:val="%9."/>
      <w:lvlJc w:val="right"/>
      <w:pPr>
        <w:ind w:left="4341" w:hanging="420"/>
      </w:pPr>
    </w:lvl>
  </w:abstractNum>
  <w:abstractNum w:abstractNumId="4">
    <w:nsid w:val="5E0D5708"/>
    <w:multiLevelType w:val="multilevel"/>
    <w:tmpl w:val="5E0D5708"/>
    <w:lvl w:ilvl="0" w:tentative="0">
      <w:start w:val="1"/>
      <w:numFmt w:val="japaneseCounting"/>
      <w:lvlText w:val="（%1）"/>
      <w:lvlJc w:val="left"/>
      <w:pPr>
        <w:ind w:left="1410" w:hanging="855"/>
      </w:pPr>
      <w:rPr>
        <w:rFonts w:hint="default"/>
      </w:rPr>
    </w:lvl>
    <w:lvl w:ilvl="1" w:tentative="0">
      <w:start w:val="1"/>
      <w:numFmt w:val="lowerLetter"/>
      <w:lvlText w:val="%2)"/>
      <w:lvlJc w:val="left"/>
      <w:pPr>
        <w:ind w:left="1395" w:hanging="420"/>
      </w:pPr>
    </w:lvl>
    <w:lvl w:ilvl="2" w:tentative="0">
      <w:start w:val="1"/>
      <w:numFmt w:val="lowerRoman"/>
      <w:lvlText w:val="%3."/>
      <w:lvlJc w:val="right"/>
      <w:pPr>
        <w:ind w:left="1815" w:hanging="420"/>
      </w:pPr>
    </w:lvl>
    <w:lvl w:ilvl="3" w:tentative="0">
      <w:start w:val="1"/>
      <w:numFmt w:val="decimal"/>
      <w:lvlText w:val="%4."/>
      <w:lvlJc w:val="left"/>
      <w:pPr>
        <w:ind w:left="2235" w:hanging="420"/>
      </w:pPr>
    </w:lvl>
    <w:lvl w:ilvl="4" w:tentative="0">
      <w:start w:val="1"/>
      <w:numFmt w:val="lowerLetter"/>
      <w:lvlText w:val="%5)"/>
      <w:lvlJc w:val="left"/>
      <w:pPr>
        <w:ind w:left="2655" w:hanging="420"/>
      </w:pPr>
    </w:lvl>
    <w:lvl w:ilvl="5" w:tentative="0">
      <w:start w:val="1"/>
      <w:numFmt w:val="lowerRoman"/>
      <w:lvlText w:val="%6."/>
      <w:lvlJc w:val="right"/>
      <w:pPr>
        <w:ind w:left="3075" w:hanging="420"/>
      </w:pPr>
    </w:lvl>
    <w:lvl w:ilvl="6" w:tentative="0">
      <w:start w:val="1"/>
      <w:numFmt w:val="decimal"/>
      <w:lvlText w:val="%7."/>
      <w:lvlJc w:val="left"/>
      <w:pPr>
        <w:ind w:left="3495" w:hanging="420"/>
      </w:pPr>
    </w:lvl>
    <w:lvl w:ilvl="7" w:tentative="0">
      <w:start w:val="1"/>
      <w:numFmt w:val="lowerLetter"/>
      <w:lvlText w:val="%8)"/>
      <w:lvlJc w:val="left"/>
      <w:pPr>
        <w:ind w:left="3915" w:hanging="420"/>
      </w:pPr>
    </w:lvl>
    <w:lvl w:ilvl="8" w:tentative="0">
      <w:start w:val="1"/>
      <w:numFmt w:val="lowerRoman"/>
      <w:lvlText w:val="%9."/>
      <w:lvlJc w:val="right"/>
      <w:pPr>
        <w:ind w:left="4335" w:hanging="420"/>
      </w:pPr>
    </w:lvl>
  </w:abstractNum>
  <w:abstractNum w:abstractNumId="5">
    <w:nsid w:val="66BACB99"/>
    <w:multiLevelType w:val="singleLevel"/>
    <w:tmpl w:val="66BACB99"/>
    <w:lvl w:ilvl="0" w:tentative="0">
      <w:start w:val="3"/>
      <w:numFmt w:val="chineseCounting"/>
      <w:suff w:val="nothing"/>
      <w:lvlText w:val="（%1）"/>
      <w:lvlJc w:val="left"/>
    </w:lvl>
  </w:abstractNum>
  <w:abstractNum w:abstractNumId="6">
    <w:nsid w:val="66BAD06E"/>
    <w:multiLevelType w:val="singleLevel"/>
    <w:tmpl w:val="66BAD06E"/>
    <w:lvl w:ilvl="0" w:tentative="0">
      <w:start w:val="3"/>
      <w:numFmt w:val="chineseCounting"/>
      <w:suff w:val="nothing"/>
      <w:lvlText w:val="%1、"/>
      <w:lvlJc w:val="left"/>
    </w:lvl>
  </w:abstractNum>
  <w:abstractNum w:abstractNumId="7">
    <w:nsid w:val="670C7F12"/>
    <w:multiLevelType w:val="singleLevel"/>
    <w:tmpl w:val="670C7F12"/>
    <w:lvl w:ilvl="0" w:tentative="0">
      <w:start w:val="9"/>
      <w:numFmt w:val="chineseCounting"/>
      <w:suff w:val="nothing"/>
      <w:lvlText w:val="%1、"/>
      <w:lvlJc w:val="left"/>
    </w:lvl>
  </w:abstractNum>
  <w:num w:numId="1">
    <w:abstractNumId w:val="2"/>
  </w:num>
  <w:num w:numId="2">
    <w:abstractNumId w:val="4"/>
  </w:num>
  <w:num w:numId="3">
    <w:abstractNumId w:val="0"/>
  </w:num>
  <w:num w:numId="4">
    <w:abstractNumId w:val="5"/>
  </w:num>
  <w:num w:numId="5">
    <w:abstractNumId w:val="6"/>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mirrorMargins w:val="1"/>
  <w:bordersDoNotSurroundHeader w:val="1"/>
  <w:bordersDoNotSurroundFooter w:val="1"/>
  <w:documentProtection w:enforcement="0"/>
  <w:defaultTabStop w:val="420"/>
  <w:drawingGridHorizontalSpacing w:val="105"/>
  <w:drawingGridVerticalSpacing w:val="143"/>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zMjhmNDFhZWFmM2UxNDI4YjgwNmRkNzc1YWUyNTEifQ=="/>
  </w:docVars>
  <w:rsids>
    <w:rsidRoot w:val="00BA388F"/>
    <w:rsid w:val="00016170"/>
    <w:rsid w:val="000A6F9B"/>
    <w:rsid w:val="000D7D04"/>
    <w:rsid w:val="000E5D5B"/>
    <w:rsid w:val="001169BB"/>
    <w:rsid w:val="00120FB1"/>
    <w:rsid w:val="001947FB"/>
    <w:rsid w:val="001E1260"/>
    <w:rsid w:val="0020311B"/>
    <w:rsid w:val="00205991"/>
    <w:rsid w:val="00250A0C"/>
    <w:rsid w:val="0026196B"/>
    <w:rsid w:val="003158C4"/>
    <w:rsid w:val="00327A5C"/>
    <w:rsid w:val="0036557C"/>
    <w:rsid w:val="00390C58"/>
    <w:rsid w:val="003A1CA3"/>
    <w:rsid w:val="003C5D35"/>
    <w:rsid w:val="003D5CBD"/>
    <w:rsid w:val="00412B0A"/>
    <w:rsid w:val="004247A3"/>
    <w:rsid w:val="00462E8C"/>
    <w:rsid w:val="00493B0D"/>
    <w:rsid w:val="004B2294"/>
    <w:rsid w:val="004C436E"/>
    <w:rsid w:val="004D22F2"/>
    <w:rsid w:val="00523153"/>
    <w:rsid w:val="005515B1"/>
    <w:rsid w:val="00562419"/>
    <w:rsid w:val="00563B4B"/>
    <w:rsid w:val="0058075D"/>
    <w:rsid w:val="005F12B3"/>
    <w:rsid w:val="0060343B"/>
    <w:rsid w:val="0067242E"/>
    <w:rsid w:val="006A2FE5"/>
    <w:rsid w:val="006D4455"/>
    <w:rsid w:val="006E7B89"/>
    <w:rsid w:val="00701A76"/>
    <w:rsid w:val="0072040A"/>
    <w:rsid w:val="00742697"/>
    <w:rsid w:val="00797545"/>
    <w:rsid w:val="008167FA"/>
    <w:rsid w:val="0082133A"/>
    <w:rsid w:val="0084734A"/>
    <w:rsid w:val="00865E9D"/>
    <w:rsid w:val="008B2492"/>
    <w:rsid w:val="008C361E"/>
    <w:rsid w:val="008D516C"/>
    <w:rsid w:val="00933EDF"/>
    <w:rsid w:val="0094024B"/>
    <w:rsid w:val="00943487"/>
    <w:rsid w:val="00982C58"/>
    <w:rsid w:val="00985FBF"/>
    <w:rsid w:val="009913FF"/>
    <w:rsid w:val="009A1E17"/>
    <w:rsid w:val="009A5FA3"/>
    <w:rsid w:val="00A32E82"/>
    <w:rsid w:val="00A46926"/>
    <w:rsid w:val="00A618D3"/>
    <w:rsid w:val="00A91ECA"/>
    <w:rsid w:val="00AE6E26"/>
    <w:rsid w:val="00B02002"/>
    <w:rsid w:val="00B26819"/>
    <w:rsid w:val="00B50DAE"/>
    <w:rsid w:val="00B67642"/>
    <w:rsid w:val="00B75D81"/>
    <w:rsid w:val="00BA388F"/>
    <w:rsid w:val="00BB06D9"/>
    <w:rsid w:val="00BD3E75"/>
    <w:rsid w:val="00BF1C3F"/>
    <w:rsid w:val="00C46509"/>
    <w:rsid w:val="00C61769"/>
    <w:rsid w:val="00CA728B"/>
    <w:rsid w:val="00CD0F7B"/>
    <w:rsid w:val="00CE3050"/>
    <w:rsid w:val="00D45422"/>
    <w:rsid w:val="00D6060F"/>
    <w:rsid w:val="00D65378"/>
    <w:rsid w:val="00D752C1"/>
    <w:rsid w:val="00D9046E"/>
    <w:rsid w:val="00DB5FC6"/>
    <w:rsid w:val="00DE007B"/>
    <w:rsid w:val="00E4762D"/>
    <w:rsid w:val="00E817A8"/>
    <w:rsid w:val="00EA3B2C"/>
    <w:rsid w:val="00EC44CC"/>
    <w:rsid w:val="00F01216"/>
    <w:rsid w:val="00F05B22"/>
    <w:rsid w:val="00F078D3"/>
    <w:rsid w:val="00F17223"/>
    <w:rsid w:val="00F638B9"/>
    <w:rsid w:val="00F664A3"/>
    <w:rsid w:val="00F82704"/>
    <w:rsid w:val="00F9520D"/>
    <w:rsid w:val="00FE388D"/>
    <w:rsid w:val="00FE7C5D"/>
    <w:rsid w:val="02530D9A"/>
    <w:rsid w:val="02D25523"/>
    <w:rsid w:val="02E828A9"/>
    <w:rsid w:val="0367073C"/>
    <w:rsid w:val="03D16D2F"/>
    <w:rsid w:val="043C2F64"/>
    <w:rsid w:val="05BE1F0E"/>
    <w:rsid w:val="06CB5B65"/>
    <w:rsid w:val="07FF2CEA"/>
    <w:rsid w:val="098A1E34"/>
    <w:rsid w:val="09AA1E93"/>
    <w:rsid w:val="09F45772"/>
    <w:rsid w:val="0B3E30E3"/>
    <w:rsid w:val="0C7F5CF6"/>
    <w:rsid w:val="0D165D5B"/>
    <w:rsid w:val="0D69454D"/>
    <w:rsid w:val="0DB67743"/>
    <w:rsid w:val="0E8F45F1"/>
    <w:rsid w:val="0ED07A15"/>
    <w:rsid w:val="0EE7435D"/>
    <w:rsid w:val="0F1171E8"/>
    <w:rsid w:val="0FAE6AEF"/>
    <w:rsid w:val="12D404AF"/>
    <w:rsid w:val="1309283E"/>
    <w:rsid w:val="13930C17"/>
    <w:rsid w:val="14E528C6"/>
    <w:rsid w:val="15AD63FF"/>
    <w:rsid w:val="15E147E2"/>
    <w:rsid w:val="16581E57"/>
    <w:rsid w:val="169A58F2"/>
    <w:rsid w:val="16CA4622"/>
    <w:rsid w:val="16EB646C"/>
    <w:rsid w:val="17C90CEC"/>
    <w:rsid w:val="1875501B"/>
    <w:rsid w:val="194B45AF"/>
    <w:rsid w:val="19602F5F"/>
    <w:rsid w:val="19F725E0"/>
    <w:rsid w:val="1A087CE3"/>
    <w:rsid w:val="1A173735"/>
    <w:rsid w:val="1A325A0A"/>
    <w:rsid w:val="1B0A4F10"/>
    <w:rsid w:val="1B2C41DA"/>
    <w:rsid w:val="1BA70298"/>
    <w:rsid w:val="1C797F54"/>
    <w:rsid w:val="1C9536BB"/>
    <w:rsid w:val="1D621633"/>
    <w:rsid w:val="22555FBA"/>
    <w:rsid w:val="22D57E3D"/>
    <w:rsid w:val="23724EE1"/>
    <w:rsid w:val="23AD1AA4"/>
    <w:rsid w:val="248E4594"/>
    <w:rsid w:val="24A1217A"/>
    <w:rsid w:val="25AE1B15"/>
    <w:rsid w:val="25EA6912"/>
    <w:rsid w:val="26F3778A"/>
    <w:rsid w:val="27261670"/>
    <w:rsid w:val="27C17BE4"/>
    <w:rsid w:val="28C27611"/>
    <w:rsid w:val="297B2697"/>
    <w:rsid w:val="2996540B"/>
    <w:rsid w:val="29FA0F90"/>
    <w:rsid w:val="2A0A2A62"/>
    <w:rsid w:val="2A1301EA"/>
    <w:rsid w:val="2A22089E"/>
    <w:rsid w:val="2A3750F1"/>
    <w:rsid w:val="2A834982"/>
    <w:rsid w:val="2AFA0891"/>
    <w:rsid w:val="2B2B4735"/>
    <w:rsid w:val="2B973D49"/>
    <w:rsid w:val="2D3A44A6"/>
    <w:rsid w:val="2DD97E31"/>
    <w:rsid w:val="2E914551"/>
    <w:rsid w:val="2F582E2B"/>
    <w:rsid w:val="308C70F2"/>
    <w:rsid w:val="315658FD"/>
    <w:rsid w:val="318D794D"/>
    <w:rsid w:val="325B46A4"/>
    <w:rsid w:val="32925116"/>
    <w:rsid w:val="3400062C"/>
    <w:rsid w:val="34B03B9A"/>
    <w:rsid w:val="371D121A"/>
    <w:rsid w:val="372F4B35"/>
    <w:rsid w:val="37E8373D"/>
    <w:rsid w:val="37F45D0E"/>
    <w:rsid w:val="382C5D88"/>
    <w:rsid w:val="38517A5C"/>
    <w:rsid w:val="39620A60"/>
    <w:rsid w:val="39A31D91"/>
    <w:rsid w:val="3A654B96"/>
    <w:rsid w:val="3AA0106E"/>
    <w:rsid w:val="3B933C2B"/>
    <w:rsid w:val="3BB646F1"/>
    <w:rsid w:val="3BDC0797"/>
    <w:rsid w:val="3C5000BD"/>
    <w:rsid w:val="3C8467F1"/>
    <w:rsid w:val="3CED5DE1"/>
    <w:rsid w:val="3F646003"/>
    <w:rsid w:val="401672D6"/>
    <w:rsid w:val="402476A6"/>
    <w:rsid w:val="40886FB2"/>
    <w:rsid w:val="40C335CB"/>
    <w:rsid w:val="40D41DE6"/>
    <w:rsid w:val="41B93BD0"/>
    <w:rsid w:val="42206C63"/>
    <w:rsid w:val="42870A90"/>
    <w:rsid w:val="42EA24B1"/>
    <w:rsid w:val="43EF54B1"/>
    <w:rsid w:val="444929F9"/>
    <w:rsid w:val="446E5977"/>
    <w:rsid w:val="463F3CCC"/>
    <w:rsid w:val="4694032E"/>
    <w:rsid w:val="46FE1B87"/>
    <w:rsid w:val="46FE25C6"/>
    <w:rsid w:val="478A257A"/>
    <w:rsid w:val="4794588B"/>
    <w:rsid w:val="48E045FB"/>
    <w:rsid w:val="490966BF"/>
    <w:rsid w:val="49AF5594"/>
    <w:rsid w:val="4A0A3D88"/>
    <w:rsid w:val="4A3D337F"/>
    <w:rsid w:val="4A417BB7"/>
    <w:rsid w:val="4A446121"/>
    <w:rsid w:val="4A9A2A83"/>
    <w:rsid w:val="4B850C7C"/>
    <w:rsid w:val="4BC97B99"/>
    <w:rsid w:val="4BE17479"/>
    <w:rsid w:val="4C73622A"/>
    <w:rsid w:val="4DBB0491"/>
    <w:rsid w:val="4E1E75F1"/>
    <w:rsid w:val="50C203F6"/>
    <w:rsid w:val="51DB3C59"/>
    <w:rsid w:val="51DE740B"/>
    <w:rsid w:val="524F2BBC"/>
    <w:rsid w:val="52FE4825"/>
    <w:rsid w:val="537D191E"/>
    <w:rsid w:val="552411B0"/>
    <w:rsid w:val="56ED52AB"/>
    <w:rsid w:val="574E783E"/>
    <w:rsid w:val="5817739B"/>
    <w:rsid w:val="58ED4387"/>
    <w:rsid w:val="59537F28"/>
    <w:rsid w:val="59C978D8"/>
    <w:rsid w:val="5E0A243F"/>
    <w:rsid w:val="5E33692E"/>
    <w:rsid w:val="619E04DC"/>
    <w:rsid w:val="66743282"/>
    <w:rsid w:val="6769437E"/>
    <w:rsid w:val="69A67E59"/>
    <w:rsid w:val="69D44217"/>
    <w:rsid w:val="6ADC6FD1"/>
    <w:rsid w:val="6B2F7D70"/>
    <w:rsid w:val="6BD4750E"/>
    <w:rsid w:val="6C1D0633"/>
    <w:rsid w:val="6CBF2488"/>
    <w:rsid w:val="717E068F"/>
    <w:rsid w:val="71E47FC0"/>
    <w:rsid w:val="72AB7677"/>
    <w:rsid w:val="72C059E6"/>
    <w:rsid w:val="75B178CF"/>
    <w:rsid w:val="75C36D18"/>
    <w:rsid w:val="75C4096E"/>
    <w:rsid w:val="75D42DC5"/>
    <w:rsid w:val="760B6AEA"/>
    <w:rsid w:val="761C2FAA"/>
    <w:rsid w:val="767D522A"/>
    <w:rsid w:val="786356C5"/>
    <w:rsid w:val="7A150C8C"/>
    <w:rsid w:val="7A7F6867"/>
    <w:rsid w:val="7E9C7BC3"/>
    <w:rsid w:val="7F5E4768"/>
    <w:rsid w:val="7FC264B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Body Text"/>
    <w:basedOn w:val="1"/>
    <w:qFormat/>
    <w:uiPriority w:val="0"/>
    <w:pPr>
      <w:spacing w:line="400" w:lineRule="exact"/>
    </w:pPr>
    <w:rPr>
      <w:sz w:val="24"/>
    </w:rPr>
  </w:style>
  <w:style w:type="paragraph" w:styleId="3">
    <w:name w:val="Body Text Indent"/>
    <w:basedOn w:val="1"/>
    <w:qFormat/>
    <w:uiPriority w:val="0"/>
    <w:pPr>
      <w:spacing w:line="480" w:lineRule="exact"/>
      <w:ind w:left="480" w:hanging="480" w:hangingChars="200"/>
    </w:pPr>
    <w:rPr>
      <w:sz w:val="24"/>
    </w:rPr>
  </w:style>
  <w:style w:type="paragraph" w:styleId="4">
    <w:name w:val="Balloon Text"/>
    <w:basedOn w:val="1"/>
    <w:semiHidden/>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qFormat/>
    <w:uiPriority w:val="0"/>
    <w:pPr>
      <w:spacing w:line="480" w:lineRule="exact"/>
    </w:pPr>
    <w:rPr>
      <w:sz w:val="28"/>
    </w:rPr>
  </w:style>
  <w:style w:type="table" w:styleId="10">
    <w:name w:val="Table Grid"/>
    <w:basedOn w:val="9"/>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字符"/>
    <w:basedOn w:val="8"/>
    <w:link w:val="6"/>
    <w:qFormat/>
    <w:uiPriority w:val="0"/>
    <w:rPr>
      <w:kern w:val="2"/>
      <w:sz w:val="18"/>
      <w:szCs w:val="18"/>
    </w:rPr>
  </w:style>
  <w:style w:type="character" w:customStyle="1" w:styleId="12">
    <w:name w:val="页脚 字符"/>
    <w:basedOn w:val="8"/>
    <w:link w:val="5"/>
    <w:qFormat/>
    <w:uiPriority w:val="0"/>
    <w:rPr>
      <w:kern w:val="2"/>
      <w:sz w:val="18"/>
      <w:szCs w:val="18"/>
    </w:rPr>
  </w:style>
  <w:style w:type="paragraph" w:customStyle="1" w:styleId="13">
    <w:name w:val="列出段落1"/>
    <w:basedOn w:val="1"/>
    <w:qFormat/>
    <w:uiPriority w:val="34"/>
    <w:pPr>
      <w:ind w:firstLine="420" w:firstLineChars="200"/>
    </w:pPr>
  </w:style>
  <w:style w:type="paragraph" w:customStyle="1" w:styleId="14">
    <w:name w:val="Default"/>
    <w:unhideWhenUsed/>
    <w:qFormat/>
    <w:uiPriority w:val="0"/>
    <w:pPr>
      <w:widowControl w:val="0"/>
      <w:autoSpaceDE w:val="0"/>
      <w:autoSpaceDN w:val="0"/>
      <w:adjustRightInd w:val="0"/>
      <w:spacing w:after="160" w:line="278" w:lineRule="auto"/>
    </w:pPr>
    <w:rPr>
      <w:rFonts w:ascii="黑体" w:hAnsi="Calibri" w:eastAsia="黑体" w:cs="黑体"/>
      <w:color w:val="000000"/>
      <w:sz w:val="24"/>
      <w:szCs w:val="24"/>
      <w:lang w:val="en-US" w:eastAsia="zh-CN" w:bidi="ar-SA"/>
    </w:rPr>
  </w:style>
  <w:style w:type="paragraph" w:customStyle="1" w:styleId="15">
    <w:name w:val="章标题"/>
    <w:next w:val="1"/>
    <w:unhideWhenUsed/>
    <w:qFormat/>
    <w:uiPriority w:val="0"/>
    <w:pPr>
      <w:spacing w:beforeLines="100" w:after="160" w:afterLines="100" w:line="278" w:lineRule="auto"/>
      <w:ind w:left="710"/>
      <w:jc w:val="both"/>
      <w:outlineLvl w:val="1"/>
    </w:pPr>
    <w:rPr>
      <w:rFonts w:ascii="黑体" w:hAnsi="Times New Roman" w:eastAsia="黑体" w:cs="黑体"/>
      <w:sz w:val="21"/>
      <w:szCs w:val="21"/>
      <w:lang w:val="en-US" w:eastAsia="zh-CN" w:bidi="ar-SA"/>
    </w:rPr>
  </w:style>
  <w:style w:type="paragraph" w:customStyle="1" w:styleId="16">
    <w:name w:val="标准文件_段"/>
    <w:unhideWhenUsed/>
    <w:qFormat/>
    <w:uiPriority w:val="0"/>
    <w:pPr>
      <w:autoSpaceDE w:val="0"/>
      <w:autoSpaceDN w:val="0"/>
      <w:spacing w:after="160" w:line="278" w:lineRule="auto"/>
      <w:ind w:firstLine="200" w:firstLineChars="200"/>
      <w:jc w:val="both"/>
    </w:pPr>
    <w:rPr>
      <w:rFonts w:ascii="宋体" w:cs="宋体" w:hAnsiTheme="minorHAnsi" w:eastAsiaTheme="minorEastAsia"/>
      <w:kern w:val="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38E0E1-4CD9-4FBE-A8FA-068717FB566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3012</Words>
  <Characters>394</Characters>
  <Lines>3</Lines>
  <Paragraphs>6</Paragraphs>
  <ScaleCrop>false</ScaleCrop>
  <LinksUpToDate>false</LinksUpToDate>
  <CharactersWithSpaces>3400</CharactersWithSpaces>
  <Application>WPS Office_10.8.0.5800_F1E327BC-269C-435d-A152-05C5408002CA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2025-11-03T02:40:00Z</dcterms:created>
  <dc:creator>rcl</dc:creator>
  <cp:lastModifiedBy>李旗</cp:lastModifiedBy>
  <cp:lastPrinted>2023-05-24T08:10:00Z</cp:lastPrinted>
  <dcterms:modified xsi:type="dcterms:W3CDTF">2025-11-04T08:10:03Z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y fmtid="{D5CDD505-2E9C-101B-9397-08002B2CF9AE}" pid="3" name="ICV">
    <vt:lpwstr>909870C01C1044AE9B16D19202BE044E_13</vt:lpwstr>
  </property>
  <property fmtid="{D5CDD505-2E9C-101B-9397-08002B2CF9AE}" pid="4" name="KSOTemplateDocerSaveRecord">
    <vt:lpwstr>eyJoZGlkIjoiZTQzMjhmNDFhZWFmM2UxNDI4YjgwNmRkNzc1YWUyNTEiLCJ1c2VySWQiOiIzMTMxNDM2NjkifQ==</vt:lpwstr>
  </property>
</Properties>
</file>