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16C11">
      <w:pPr>
        <w:pStyle w:val="8"/>
        <w:adjustRightInd w:val="0"/>
        <w:snapToGrid w:val="0"/>
        <w:rPr>
          <w:rFonts w:hint="default" w:ascii="Times New Roman" w:hAnsi="Times New Roman" w:eastAsia="华文中宋" w:cs="Times New Roman"/>
          <w:bCs w:val="0"/>
          <w:kern w:val="0"/>
        </w:rPr>
      </w:pPr>
      <w:r>
        <w:rPr>
          <w:rFonts w:hint="default" w:ascii="Times New Roman" w:hAnsi="Times New Roman" w:eastAsia="黑体" w:cs="Times New Roman"/>
          <w:b w:val="0"/>
          <w:bCs w:val="0"/>
          <w:kern w:val="2"/>
          <w:sz w:val="32"/>
          <w:szCs w:val="32"/>
          <w:lang w:val="en-US" w:eastAsia="zh-CN" w:bidi="ar-SA"/>
        </w:rPr>
        <w:t>行业标准《出版业人工智能语料加工要求》编制说明</w:t>
      </w:r>
    </w:p>
    <w:p w14:paraId="1A12DB74">
      <w:pPr>
        <w:adjustRightInd w:val="0"/>
        <w:snapToGrid w:val="0"/>
        <w:spacing w:before="156" w:beforeLines="50" w:line="312" w:lineRule="auto"/>
        <w:rPr>
          <w:rFonts w:hint="default" w:ascii="Times New Roman" w:hAnsi="Times New Roman" w:eastAsia="宋体" w:cs="Times New Roman"/>
          <w:kern w:val="0"/>
          <w:sz w:val="24"/>
          <w:szCs w:val="24"/>
        </w:rPr>
      </w:pPr>
      <w:r>
        <w:rPr>
          <w:rFonts w:hint="default" w:ascii="Times New Roman" w:hAnsi="Times New Roman" w:eastAsia="宋体" w:cs="Times New Roman"/>
          <w:b/>
          <w:bCs/>
          <w:kern w:val="0"/>
          <w:sz w:val="24"/>
          <w:szCs w:val="24"/>
        </w:rPr>
        <w:t>一、工作简况</w:t>
      </w:r>
    </w:p>
    <w:p w14:paraId="03B262A4">
      <w:pPr>
        <w:pStyle w:val="4"/>
        <w:numPr>
          <w:ilvl w:val="0"/>
          <w:numId w:val="0"/>
        </w:num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sz w:val="24"/>
          <w:szCs w:val="24"/>
        </w:rPr>
        <w:t>）任务来源</w:t>
      </w:r>
    </w:p>
    <w:p w14:paraId="76F068F0">
      <w:pPr>
        <w:spacing w:line="360" w:lineRule="auto"/>
        <w:ind w:firstLine="481"/>
        <w:rPr>
          <w:rFonts w:hint="default" w:ascii="Times New Roman" w:hAnsi="Times New Roman" w:cs="Times New Roman"/>
          <w:kern w:val="0"/>
          <w:sz w:val="24"/>
        </w:rPr>
      </w:pPr>
      <w:r>
        <w:rPr>
          <w:rFonts w:hint="default" w:ascii="Times New Roman" w:hAnsi="Times New Roman" w:cs="Times New Roman"/>
          <w:sz w:val="24"/>
        </w:rPr>
        <w:t>2025年7月25日，《出版业人工智能语料加工要求》正式列入行业标准制定项目（立项编号： CY 202505），该</w:t>
      </w:r>
      <w:r>
        <w:rPr>
          <w:rFonts w:hint="default" w:ascii="Times New Roman" w:hAnsi="Times New Roman" w:cs="Times New Roman"/>
          <w:kern w:val="0"/>
          <w:sz w:val="24"/>
        </w:rPr>
        <w:t>标准由全国新闻出版标准化技术委员会归口管理。</w:t>
      </w:r>
    </w:p>
    <w:p w14:paraId="45F30ACB">
      <w:pPr>
        <w:pStyle w:val="4"/>
        <w:spacing w:line="360" w:lineRule="auto"/>
        <w:rPr>
          <w:rFonts w:hint="default" w:ascii="Times New Roman" w:hAnsi="Times New Roman" w:cs="Times New Roman"/>
        </w:rPr>
      </w:pPr>
      <w:r>
        <w:rPr>
          <w:rFonts w:hint="default" w:ascii="Times New Roman" w:hAnsi="Times New Roman" w:cs="Times New Roman"/>
        </w:rPr>
        <w:t>（二）与配套标准或系列标准的关系</w:t>
      </w:r>
    </w:p>
    <w:p w14:paraId="76F15936">
      <w:pPr>
        <w:spacing w:line="360" w:lineRule="auto"/>
        <w:ind w:firstLine="481"/>
        <w:rPr>
          <w:rFonts w:hint="default" w:ascii="Times New Roman" w:hAnsi="Times New Roman" w:cs="Times New Roman"/>
          <w:sz w:val="24"/>
        </w:rPr>
      </w:pPr>
      <w:r>
        <w:rPr>
          <w:rFonts w:hint="default" w:ascii="Times New Roman" w:hAnsi="Times New Roman" w:cs="Times New Roman"/>
          <w:sz w:val="24"/>
        </w:rPr>
        <w:t>《出版业人工智能应用安全要求》（立项编号：CY 202504）同期发布立项计划，本标准引用了该标准内容。</w:t>
      </w:r>
    </w:p>
    <w:p w14:paraId="300CDDE9">
      <w:pPr>
        <w:pStyle w:val="4"/>
        <w:spacing w:line="360" w:lineRule="auto"/>
        <w:rPr>
          <w:rFonts w:hint="default" w:ascii="Times New Roman" w:hAnsi="Times New Roman" w:cs="Times New Roman"/>
        </w:rPr>
      </w:pPr>
      <w:r>
        <w:rPr>
          <w:rFonts w:hint="default" w:ascii="Times New Roman" w:hAnsi="Times New Roman" w:cs="Times New Roman"/>
        </w:rPr>
        <w:t>（三）标准研制的目的和意义</w:t>
      </w:r>
    </w:p>
    <w:p w14:paraId="7DA029C2">
      <w:pPr>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本标准的研制目的有2个：第一，构建统一技术框架，解决行业碎片化问题。在人工智能技术重构内容生产业态的背景下，针对出版业在人工智能语料加工过程中存在的技术路径不统一、数据格式多样、处理流程差异大等问题，制定语料加工全流程技术规范，确保不同机构、平台间的数据兼容性与互操作性，为复杂数据类型的整合与利用提供统一操作指南，推动行业数据资源实现规模化整合与价值释放。第二，规范语料加工，引领智能出版高质量发展。当前出版业在人工智能应用中对高质量、多模态语料的需求日益增长，本标准通过明确数据采集的权威来源，确保语料的专业性和客观性，从而为行业提供可靠的数据基础。同时，细化数据加工流程，包括语料采集、语料转写、语料清洗、语料切分、语料标注和语料对齐等环节，旨在提升语料的纯净度和准确性。这不仅有助于消除语料加工中的不一致性和冗余问题，还能促进多模态语料的有效整合与应用。通过本标准的实施，将推动出版业在人工智能技术应用中的语料标准化进程，确保语料在整个产业链中的高质量流转和高效利用。</w:t>
      </w:r>
    </w:p>
    <w:p w14:paraId="2D0B7FAE">
      <w:pPr>
        <w:spacing w:line="360" w:lineRule="auto"/>
        <w:ind w:firstLine="480" w:firstLineChars="200"/>
        <w:rPr>
          <w:rFonts w:hint="default" w:ascii="Times New Roman" w:hAnsi="Times New Roman" w:cs="Times New Roman"/>
          <w:kern w:val="0"/>
          <w:sz w:val="24"/>
        </w:rPr>
      </w:pPr>
      <w:r>
        <w:rPr>
          <w:rFonts w:hint="default" w:ascii="Times New Roman" w:hAnsi="Times New Roman" w:cs="Times New Roman"/>
          <w:kern w:val="0"/>
          <w:sz w:val="24"/>
        </w:rPr>
        <w:t>本标准的研制意义：一是推动语料标准化治理，铸就质量保障“生命线”。标准立足出版业智能化转型需求，针对人工智能语料的全生命周期管理提出系统性技术要求。通过明确语料加工流程的合规性、标准化及规范性，确保语料的多样性、代表性和可复用性，为人工智能模型训练提供高质量基础资源。通过推动语料的标准化治理，标准旨在提升出版业智能化内容生产效率，支撑多模态内容创新与精准服务，为行业高质量发展提供技术保障与数据支撑，助力实现技术与出版深度融合的可持续发展目标。二是铸牢价值锚链，夯实意识形态“定盘星”。出版业作为意识形态工作的重要阵地，其内容生产必须始终坚持正确的政治方向和价值导向。本标准通过建立语料加工的合规性、标准化及规范性，构建起一套完善的意识形态安全的技术规制体系。通过规范人工智能语料的加工，确保内容生产严格遵循符合社会主义核心价值观，传播正能量，弘扬主旋律，进一步巩固和提升出版业在思想引领和文化传承方面的重要作用。三是强化技术引领，构筑创新发展“新高地”。在当今快速发展的科技时代，人工智能技术已成为推动出版业转型升级的核心动力。通过制定严谨且具有前瞻性的语料加工要求，出版业能够进一步强化技术引领作用，确保在语料采集、转写、清晰、切分、标注、对齐方面处于行业前沿。这不仅有助于提升内容生产的智能化水平，还能促进个性化推荐、精准营销等创新应用的发展，为用户带来更加丰富、便捷的阅读体验。通过构筑创新发展的“新高地”，出版业能够不断拓展新的增长点，在激烈的市场竞争中保持领先地位，实现从传统出版向智慧出版的跨越式发展。</w:t>
      </w:r>
    </w:p>
    <w:p w14:paraId="1486B708">
      <w:pPr>
        <w:numPr>
          <w:ilvl w:val="0"/>
          <w:numId w:val="0"/>
        </w:numPr>
        <w:adjustRightInd w:val="0"/>
        <w:snapToGrid w:val="0"/>
        <w:spacing w:before="156" w:beforeLines="50" w:line="360" w:lineRule="auto"/>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四</w:t>
      </w:r>
      <w:r>
        <w:rPr>
          <w:rFonts w:hint="default"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highlight w:val="none"/>
          <w:lang w:val="en-US" w:eastAsia="zh-CN" w:bidi="ar-SA"/>
        </w:rPr>
        <w:t>起草单位</w:t>
      </w:r>
    </w:p>
    <w:tbl>
      <w:tblPr>
        <w:tblStyle w:val="9"/>
        <w:tblW w:w="8029"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951"/>
        <w:gridCol w:w="4369"/>
      </w:tblGrid>
      <w:tr w14:paraId="033BFA8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3D3D2F5B">
            <w:pPr>
              <w:widowControl/>
              <w:rPr>
                <w:rFonts w:ascii="宋体" w:hAnsi="宋体" w:cs="宋体"/>
                <w:color w:val="000000"/>
                <w:kern w:val="0"/>
                <w:sz w:val="24"/>
              </w:rPr>
            </w:pPr>
            <w:r>
              <w:rPr>
                <w:rFonts w:hint="eastAsia" w:ascii="宋体" w:hAnsi="宋体" w:cs="宋体"/>
                <w:color w:val="000000"/>
                <w:kern w:val="0"/>
                <w:sz w:val="24"/>
              </w:rPr>
              <w:t>序号</w:t>
            </w:r>
          </w:p>
        </w:tc>
        <w:tc>
          <w:tcPr>
            <w:tcW w:w="2951" w:type="dxa"/>
            <w:noWrap w:val="0"/>
            <w:vAlign w:val="center"/>
          </w:tcPr>
          <w:p w14:paraId="5DA42086">
            <w:pPr>
              <w:widowControl/>
              <w:jc w:val="center"/>
              <w:rPr>
                <w:rFonts w:ascii="宋体" w:hAnsi="宋体" w:cs="宋体"/>
                <w:kern w:val="0"/>
                <w:sz w:val="24"/>
              </w:rPr>
            </w:pPr>
            <w:r>
              <w:rPr>
                <w:rFonts w:hint="eastAsia" w:ascii="宋体" w:hAnsi="宋体" w:cs="宋体"/>
                <w:kern w:val="0"/>
                <w:sz w:val="24"/>
              </w:rPr>
              <w:t>起草组</w:t>
            </w:r>
          </w:p>
        </w:tc>
        <w:tc>
          <w:tcPr>
            <w:tcW w:w="4369" w:type="dxa"/>
            <w:noWrap/>
            <w:vAlign w:val="center"/>
          </w:tcPr>
          <w:p w14:paraId="762D2D36">
            <w:pPr>
              <w:widowControl/>
              <w:jc w:val="center"/>
              <w:rPr>
                <w:rFonts w:ascii="宋体" w:hAnsi="宋体" w:cs="宋体"/>
                <w:kern w:val="0"/>
                <w:sz w:val="24"/>
              </w:rPr>
            </w:pPr>
            <w:r>
              <w:rPr>
                <w:rFonts w:hint="eastAsia" w:ascii="宋体" w:hAnsi="宋体" w:cs="宋体"/>
                <w:kern w:val="0"/>
                <w:sz w:val="24"/>
              </w:rPr>
              <w:t>单位</w:t>
            </w:r>
          </w:p>
        </w:tc>
      </w:tr>
      <w:tr w14:paraId="717B503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131933CC">
            <w:pPr>
              <w:widowControl/>
              <w:jc w:val="center"/>
              <w:rPr>
                <w:rFonts w:ascii="宋体" w:hAnsi="宋体" w:cs="宋体"/>
                <w:color w:val="000000"/>
                <w:kern w:val="0"/>
                <w:sz w:val="24"/>
              </w:rPr>
            </w:pPr>
            <w:r>
              <w:rPr>
                <w:rFonts w:hint="eastAsia" w:ascii="宋体" w:hAnsi="宋体" w:cs="宋体"/>
                <w:color w:val="000000"/>
                <w:kern w:val="0"/>
                <w:sz w:val="24"/>
              </w:rPr>
              <w:t>1</w:t>
            </w:r>
          </w:p>
        </w:tc>
        <w:tc>
          <w:tcPr>
            <w:tcW w:w="2951" w:type="dxa"/>
            <w:noWrap w:val="0"/>
            <w:vAlign w:val="center"/>
          </w:tcPr>
          <w:p w14:paraId="1DB24F67">
            <w:pPr>
              <w:widowControl/>
              <w:jc w:val="center"/>
              <w:rPr>
                <w:rFonts w:ascii="宋体" w:hAnsi="宋体" w:cs="宋体"/>
                <w:kern w:val="0"/>
                <w:sz w:val="24"/>
              </w:rPr>
            </w:pPr>
            <w:r>
              <w:rPr>
                <w:rFonts w:hint="eastAsia" w:ascii="宋体" w:hAnsi="宋体" w:cs="宋体"/>
                <w:kern w:val="0"/>
                <w:sz w:val="24"/>
              </w:rPr>
              <w:t>组长单位</w:t>
            </w:r>
          </w:p>
        </w:tc>
        <w:tc>
          <w:tcPr>
            <w:tcW w:w="4369" w:type="dxa"/>
            <w:noWrap/>
            <w:vAlign w:val="center"/>
          </w:tcPr>
          <w:p w14:paraId="6EEF4E0B">
            <w:pPr>
              <w:widowControl/>
              <w:jc w:val="left"/>
              <w:rPr>
                <w:rFonts w:ascii="宋体" w:hAnsi="宋体" w:cs="宋体"/>
                <w:kern w:val="0"/>
                <w:sz w:val="24"/>
              </w:rPr>
            </w:pPr>
            <w:r>
              <w:rPr>
                <w:rFonts w:hint="eastAsia"/>
                <w:sz w:val="24"/>
              </w:rPr>
              <w:t>广东人民出版社有限公司</w:t>
            </w:r>
          </w:p>
        </w:tc>
      </w:tr>
      <w:tr w14:paraId="381863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25D173CD">
            <w:pPr>
              <w:widowControl/>
              <w:jc w:val="center"/>
              <w:rPr>
                <w:rFonts w:ascii="宋体" w:hAnsi="宋体" w:cs="宋体"/>
                <w:color w:val="000000"/>
                <w:kern w:val="0"/>
                <w:sz w:val="24"/>
              </w:rPr>
            </w:pPr>
            <w:r>
              <w:rPr>
                <w:rFonts w:hint="eastAsia" w:ascii="宋体" w:hAnsi="宋体" w:cs="宋体"/>
                <w:color w:val="000000"/>
                <w:kern w:val="0"/>
                <w:sz w:val="24"/>
              </w:rPr>
              <w:t>2</w:t>
            </w:r>
          </w:p>
        </w:tc>
        <w:tc>
          <w:tcPr>
            <w:tcW w:w="2951" w:type="dxa"/>
            <w:vMerge w:val="restart"/>
            <w:noWrap w:val="0"/>
            <w:vAlign w:val="center"/>
          </w:tcPr>
          <w:p w14:paraId="1517E84A">
            <w:pPr>
              <w:widowControl/>
              <w:jc w:val="center"/>
              <w:rPr>
                <w:rFonts w:hint="eastAsia" w:ascii="宋体" w:hAnsi="宋体" w:cs="宋体"/>
                <w:kern w:val="0"/>
                <w:sz w:val="24"/>
              </w:rPr>
            </w:pPr>
            <w:r>
              <w:rPr>
                <w:rFonts w:hint="eastAsia" w:ascii="宋体" w:hAnsi="宋体" w:cs="宋体"/>
                <w:kern w:val="0"/>
                <w:sz w:val="24"/>
              </w:rPr>
              <w:t>副组长单位</w:t>
            </w:r>
          </w:p>
          <w:p w14:paraId="47FC5C33">
            <w:pPr>
              <w:widowControl/>
              <w:jc w:val="center"/>
              <w:rPr>
                <w:rFonts w:hint="eastAsia" w:ascii="宋体" w:hAnsi="宋体" w:cs="宋体"/>
                <w:kern w:val="0"/>
                <w:sz w:val="24"/>
              </w:rPr>
            </w:pPr>
            <w:r>
              <w:rPr>
                <w:rFonts w:hint="eastAsia" w:ascii="宋体" w:hAnsi="宋体" w:cs="宋体"/>
                <w:kern w:val="0"/>
                <w:sz w:val="24"/>
              </w:rPr>
              <w:t>（排名不分先后）</w:t>
            </w:r>
          </w:p>
        </w:tc>
        <w:tc>
          <w:tcPr>
            <w:tcW w:w="4369" w:type="dxa"/>
            <w:noWrap/>
            <w:vAlign w:val="center"/>
          </w:tcPr>
          <w:p w14:paraId="1C641828">
            <w:pPr>
              <w:widowControl/>
              <w:jc w:val="left"/>
              <w:rPr>
                <w:rFonts w:ascii="宋体" w:hAnsi="宋体" w:cs="宋体"/>
                <w:kern w:val="0"/>
                <w:sz w:val="24"/>
              </w:rPr>
            </w:pPr>
            <w:r>
              <w:rPr>
                <w:rFonts w:hint="eastAsia" w:ascii="宋体" w:hAnsi="宋体" w:cs="宋体"/>
                <w:kern w:val="0"/>
                <w:sz w:val="24"/>
              </w:rPr>
              <w:t>中国大百科全书出版社有限公司</w:t>
            </w:r>
          </w:p>
        </w:tc>
      </w:tr>
      <w:tr w14:paraId="042ABE4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24510C86">
            <w:pPr>
              <w:widowControl/>
              <w:jc w:val="center"/>
              <w:rPr>
                <w:rFonts w:hint="eastAsia" w:ascii="宋体" w:hAnsi="宋体" w:cs="宋体"/>
                <w:color w:val="000000"/>
                <w:kern w:val="0"/>
                <w:sz w:val="24"/>
              </w:rPr>
            </w:pPr>
            <w:r>
              <w:rPr>
                <w:rFonts w:hint="eastAsia" w:ascii="宋体" w:hAnsi="宋体" w:cs="宋体"/>
                <w:color w:val="000000"/>
                <w:kern w:val="0"/>
                <w:sz w:val="24"/>
              </w:rPr>
              <w:t>3</w:t>
            </w:r>
          </w:p>
        </w:tc>
        <w:tc>
          <w:tcPr>
            <w:tcW w:w="2951" w:type="dxa"/>
            <w:vMerge w:val="continue"/>
            <w:noWrap w:val="0"/>
            <w:vAlign w:val="center"/>
          </w:tcPr>
          <w:p w14:paraId="24D62DA6">
            <w:pPr>
              <w:widowControl/>
              <w:jc w:val="center"/>
              <w:rPr>
                <w:rFonts w:hint="eastAsia" w:ascii="宋体" w:hAnsi="宋体" w:cs="宋体"/>
                <w:kern w:val="0"/>
                <w:sz w:val="24"/>
              </w:rPr>
            </w:pPr>
          </w:p>
        </w:tc>
        <w:tc>
          <w:tcPr>
            <w:tcW w:w="4369" w:type="dxa"/>
            <w:noWrap/>
            <w:vAlign w:val="center"/>
          </w:tcPr>
          <w:p w14:paraId="502F8D34">
            <w:pPr>
              <w:widowControl/>
              <w:jc w:val="left"/>
              <w:rPr>
                <w:sz w:val="24"/>
              </w:rPr>
            </w:pPr>
            <w:r>
              <w:rPr>
                <w:rFonts w:hint="eastAsia"/>
                <w:sz w:val="24"/>
              </w:rPr>
              <w:t>武汉理工数字传播工程有限公司</w:t>
            </w:r>
          </w:p>
        </w:tc>
      </w:tr>
      <w:tr w14:paraId="02B29E3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5CA89A47">
            <w:pPr>
              <w:widowControl/>
              <w:jc w:val="center"/>
              <w:rPr>
                <w:rFonts w:hint="eastAsia" w:ascii="宋体" w:hAnsi="宋体" w:cs="宋体"/>
                <w:color w:val="000000"/>
                <w:kern w:val="0"/>
                <w:sz w:val="24"/>
              </w:rPr>
            </w:pPr>
            <w:r>
              <w:rPr>
                <w:rFonts w:ascii="宋体" w:hAnsi="宋体" w:cs="宋体"/>
                <w:color w:val="000000"/>
                <w:kern w:val="0"/>
                <w:sz w:val="24"/>
              </w:rPr>
              <w:t>4</w:t>
            </w:r>
          </w:p>
        </w:tc>
        <w:tc>
          <w:tcPr>
            <w:tcW w:w="2951" w:type="dxa"/>
            <w:vMerge w:val="continue"/>
            <w:noWrap w:val="0"/>
            <w:vAlign w:val="center"/>
          </w:tcPr>
          <w:p w14:paraId="6D7F3A36">
            <w:pPr>
              <w:widowControl/>
              <w:jc w:val="center"/>
              <w:rPr>
                <w:rFonts w:hint="eastAsia" w:ascii="宋体" w:hAnsi="宋体" w:cs="宋体"/>
                <w:kern w:val="0"/>
                <w:sz w:val="24"/>
              </w:rPr>
            </w:pPr>
          </w:p>
        </w:tc>
        <w:tc>
          <w:tcPr>
            <w:tcW w:w="4369" w:type="dxa"/>
            <w:noWrap/>
            <w:vAlign w:val="center"/>
          </w:tcPr>
          <w:p w14:paraId="5C67E1F5">
            <w:pPr>
              <w:widowControl/>
              <w:jc w:val="left"/>
              <w:rPr>
                <w:rFonts w:hint="eastAsia"/>
                <w:sz w:val="24"/>
              </w:rPr>
            </w:pPr>
            <w:r>
              <w:rPr>
                <w:rFonts w:hint="eastAsia"/>
                <w:sz w:val="24"/>
              </w:rPr>
              <w:t>北京印刷学院</w:t>
            </w:r>
          </w:p>
        </w:tc>
      </w:tr>
      <w:tr w14:paraId="3FCDD73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77DB32F3">
            <w:pPr>
              <w:widowControl/>
              <w:jc w:val="center"/>
              <w:rPr>
                <w:rFonts w:hint="eastAsia" w:ascii="宋体" w:hAnsi="宋体" w:cs="宋体"/>
                <w:color w:val="000000"/>
                <w:kern w:val="0"/>
                <w:sz w:val="24"/>
              </w:rPr>
            </w:pPr>
            <w:r>
              <w:rPr>
                <w:rFonts w:ascii="宋体" w:hAnsi="宋体" w:cs="宋体"/>
                <w:color w:val="000000"/>
                <w:kern w:val="0"/>
                <w:sz w:val="24"/>
              </w:rPr>
              <w:t>5</w:t>
            </w:r>
          </w:p>
        </w:tc>
        <w:tc>
          <w:tcPr>
            <w:tcW w:w="2951" w:type="dxa"/>
            <w:vMerge w:val="continue"/>
            <w:noWrap w:val="0"/>
            <w:vAlign w:val="center"/>
          </w:tcPr>
          <w:p w14:paraId="681572BA">
            <w:pPr>
              <w:widowControl/>
              <w:jc w:val="center"/>
              <w:rPr>
                <w:rFonts w:hint="eastAsia" w:ascii="宋体" w:hAnsi="宋体" w:cs="宋体"/>
                <w:kern w:val="0"/>
                <w:sz w:val="24"/>
              </w:rPr>
            </w:pPr>
          </w:p>
        </w:tc>
        <w:tc>
          <w:tcPr>
            <w:tcW w:w="4369" w:type="dxa"/>
            <w:noWrap/>
            <w:vAlign w:val="center"/>
          </w:tcPr>
          <w:p w14:paraId="78A2C664">
            <w:pPr>
              <w:widowControl/>
              <w:jc w:val="left"/>
              <w:rPr>
                <w:rFonts w:hint="eastAsia"/>
                <w:sz w:val="24"/>
              </w:rPr>
            </w:pPr>
            <w:r>
              <w:rPr>
                <w:rFonts w:hint="eastAsia"/>
                <w:sz w:val="24"/>
              </w:rPr>
              <w:t>中新金桥数字科技（北京）有限公司</w:t>
            </w:r>
          </w:p>
        </w:tc>
      </w:tr>
      <w:tr w14:paraId="6056988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643A4A42">
            <w:pPr>
              <w:widowControl/>
              <w:jc w:val="center"/>
              <w:rPr>
                <w:rFonts w:hint="eastAsia" w:ascii="宋体" w:hAnsi="宋体" w:cs="宋体"/>
                <w:color w:val="000000"/>
                <w:kern w:val="0"/>
                <w:sz w:val="24"/>
              </w:rPr>
            </w:pPr>
            <w:r>
              <w:rPr>
                <w:rFonts w:ascii="宋体" w:hAnsi="宋体" w:cs="宋体"/>
                <w:color w:val="000000"/>
                <w:kern w:val="0"/>
                <w:sz w:val="24"/>
              </w:rPr>
              <w:t>6</w:t>
            </w:r>
          </w:p>
        </w:tc>
        <w:tc>
          <w:tcPr>
            <w:tcW w:w="2951" w:type="dxa"/>
            <w:vMerge w:val="continue"/>
            <w:noWrap w:val="0"/>
            <w:vAlign w:val="center"/>
          </w:tcPr>
          <w:p w14:paraId="448231D6">
            <w:pPr>
              <w:widowControl/>
              <w:jc w:val="center"/>
              <w:rPr>
                <w:rFonts w:hint="eastAsia" w:ascii="宋体" w:hAnsi="宋体" w:cs="宋体"/>
                <w:kern w:val="0"/>
                <w:sz w:val="24"/>
              </w:rPr>
            </w:pPr>
          </w:p>
        </w:tc>
        <w:tc>
          <w:tcPr>
            <w:tcW w:w="4369" w:type="dxa"/>
            <w:noWrap/>
            <w:vAlign w:val="center"/>
          </w:tcPr>
          <w:p w14:paraId="6894169F">
            <w:pPr>
              <w:widowControl/>
              <w:jc w:val="left"/>
              <w:rPr>
                <w:rFonts w:hint="eastAsia"/>
                <w:sz w:val="24"/>
              </w:rPr>
            </w:pPr>
            <w:r>
              <w:rPr>
                <w:rFonts w:hint="eastAsia"/>
                <w:sz w:val="24"/>
              </w:rPr>
              <w:t>山东出版数字融合产业研究院有限公司</w:t>
            </w:r>
          </w:p>
        </w:tc>
      </w:tr>
      <w:tr w14:paraId="168E5B7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9" w:type="dxa"/>
            <w:noWrap/>
            <w:vAlign w:val="center"/>
          </w:tcPr>
          <w:p w14:paraId="25A27E18">
            <w:pPr>
              <w:widowControl/>
              <w:jc w:val="center"/>
              <w:rPr>
                <w:rFonts w:ascii="宋体" w:hAnsi="宋体" w:cs="宋体"/>
                <w:color w:val="000000"/>
                <w:kern w:val="0"/>
                <w:sz w:val="24"/>
              </w:rPr>
            </w:pPr>
            <w:r>
              <w:rPr>
                <w:rFonts w:ascii="宋体" w:hAnsi="宋体" w:cs="宋体"/>
                <w:color w:val="000000"/>
                <w:kern w:val="0"/>
                <w:sz w:val="24"/>
              </w:rPr>
              <w:t>7</w:t>
            </w:r>
          </w:p>
        </w:tc>
        <w:tc>
          <w:tcPr>
            <w:tcW w:w="2951" w:type="dxa"/>
            <w:vMerge w:val="restart"/>
            <w:noWrap w:val="0"/>
            <w:vAlign w:val="center"/>
          </w:tcPr>
          <w:p w14:paraId="6DDA46FE">
            <w:pPr>
              <w:widowControl/>
              <w:jc w:val="center"/>
              <w:rPr>
                <w:rFonts w:ascii="宋体" w:hAnsi="宋体" w:cs="宋体"/>
                <w:kern w:val="0"/>
                <w:sz w:val="24"/>
              </w:rPr>
            </w:pPr>
            <w:r>
              <w:rPr>
                <w:rFonts w:hint="eastAsia" w:ascii="宋体" w:hAnsi="宋体" w:cs="宋体"/>
                <w:kern w:val="0"/>
                <w:sz w:val="24"/>
              </w:rPr>
              <w:t>其他起草</w:t>
            </w:r>
            <w:r>
              <w:rPr>
                <w:rFonts w:ascii="宋体" w:hAnsi="宋体" w:cs="宋体"/>
                <w:kern w:val="0"/>
                <w:sz w:val="24"/>
              </w:rPr>
              <w:t>单位</w:t>
            </w:r>
          </w:p>
          <w:p w14:paraId="124487AD">
            <w:pPr>
              <w:jc w:val="center"/>
              <w:rPr>
                <w:rFonts w:ascii="宋体" w:hAnsi="宋体" w:cs="宋体"/>
                <w:kern w:val="0"/>
                <w:sz w:val="24"/>
              </w:rPr>
            </w:pPr>
            <w:r>
              <w:rPr>
                <w:rFonts w:hint="eastAsia" w:ascii="宋体" w:hAnsi="宋体" w:cs="宋体"/>
                <w:kern w:val="0"/>
                <w:sz w:val="24"/>
              </w:rPr>
              <w:t>（排名不分先后）</w:t>
            </w:r>
          </w:p>
        </w:tc>
        <w:tc>
          <w:tcPr>
            <w:tcW w:w="4369" w:type="dxa"/>
            <w:noWrap/>
            <w:vAlign w:val="center"/>
          </w:tcPr>
          <w:p w14:paraId="6462FE5F">
            <w:pPr>
              <w:widowControl/>
              <w:jc w:val="left"/>
              <w:rPr>
                <w:rFonts w:hint="eastAsia"/>
                <w:sz w:val="24"/>
              </w:rPr>
            </w:pPr>
            <w:r>
              <w:rPr>
                <w:rFonts w:hint="eastAsia"/>
                <w:sz w:val="24"/>
              </w:rPr>
              <w:t>北京理工大学出版社有限责任公司</w:t>
            </w:r>
          </w:p>
        </w:tc>
      </w:tr>
      <w:tr w14:paraId="101413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60725773">
            <w:pPr>
              <w:widowControl/>
              <w:jc w:val="center"/>
              <w:rPr>
                <w:rFonts w:hint="eastAsia" w:ascii="宋体" w:hAnsi="宋体" w:cs="宋体"/>
                <w:color w:val="000000"/>
                <w:kern w:val="0"/>
                <w:sz w:val="24"/>
              </w:rPr>
            </w:pPr>
            <w:r>
              <w:rPr>
                <w:rFonts w:ascii="宋体" w:hAnsi="宋体" w:cs="宋体"/>
                <w:color w:val="000000"/>
                <w:kern w:val="0"/>
                <w:sz w:val="24"/>
              </w:rPr>
              <w:t>8</w:t>
            </w:r>
          </w:p>
        </w:tc>
        <w:tc>
          <w:tcPr>
            <w:tcW w:w="2951" w:type="dxa"/>
            <w:vMerge w:val="continue"/>
            <w:noWrap w:val="0"/>
            <w:vAlign w:val="center"/>
          </w:tcPr>
          <w:p w14:paraId="4A8ACA0F">
            <w:pPr>
              <w:widowControl/>
              <w:jc w:val="center"/>
              <w:rPr>
                <w:rFonts w:ascii="宋体" w:hAnsi="宋体" w:cs="宋体"/>
                <w:kern w:val="0"/>
                <w:sz w:val="24"/>
              </w:rPr>
            </w:pPr>
          </w:p>
        </w:tc>
        <w:tc>
          <w:tcPr>
            <w:tcW w:w="4369" w:type="dxa"/>
            <w:noWrap/>
            <w:vAlign w:val="center"/>
          </w:tcPr>
          <w:p w14:paraId="031BF5E7">
            <w:pPr>
              <w:widowControl/>
              <w:jc w:val="left"/>
              <w:rPr>
                <w:sz w:val="24"/>
              </w:rPr>
            </w:pPr>
            <w:r>
              <w:rPr>
                <w:rFonts w:hint="eastAsia"/>
                <w:sz w:val="24"/>
              </w:rPr>
              <w:t>天津大学出版社有限责任公司</w:t>
            </w:r>
          </w:p>
        </w:tc>
      </w:tr>
      <w:tr w14:paraId="32D909C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419DE738">
            <w:pPr>
              <w:widowControl/>
              <w:jc w:val="center"/>
              <w:rPr>
                <w:rFonts w:hint="eastAsia" w:ascii="宋体" w:hAnsi="宋体" w:cs="宋体"/>
                <w:color w:val="000000"/>
                <w:kern w:val="0"/>
                <w:sz w:val="24"/>
              </w:rPr>
            </w:pPr>
            <w:r>
              <w:rPr>
                <w:rFonts w:ascii="宋体" w:hAnsi="宋体" w:cs="宋体"/>
                <w:color w:val="000000"/>
                <w:kern w:val="0"/>
                <w:sz w:val="24"/>
              </w:rPr>
              <w:t>9</w:t>
            </w:r>
          </w:p>
        </w:tc>
        <w:tc>
          <w:tcPr>
            <w:tcW w:w="2951" w:type="dxa"/>
            <w:vMerge w:val="continue"/>
            <w:noWrap w:val="0"/>
            <w:vAlign w:val="center"/>
          </w:tcPr>
          <w:p w14:paraId="64BE580A">
            <w:pPr>
              <w:widowControl/>
              <w:jc w:val="center"/>
              <w:rPr>
                <w:rFonts w:ascii="宋体" w:hAnsi="宋体" w:cs="宋体"/>
                <w:kern w:val="0"/>
                <w:sz w:val="24"/>
              </w:rPr>
            </w:pPr>
          </w:p>
        </w:tc>
        <w:tc>
          <w:tcPr>
            <w:tcW w:w="4369" w:type="dxa"/>
            <w:noWrap/>
            <w:vAlign w:val="center"/>
          </w:tcPr>
          <w:p w14:paraId="11E3AB45">
            <w:pPr>
              <w:widowControl/>
              <w:jc w:val="left"/>
              <w:rPr>
                <w:sz w:val="24"/>
              </w:rPr>
            </w:pPr>
            <w:r>
              <w:rPr>
                <w:rFonts w:hint="eastAsia"/>
                <w:sz w:val="24"/>
              </w:rPr>
              <w:t>华中科技大学出版社有限责任公司</w:t>
            </w:r>
          </w:p>
        </w:tc>
      </w:tr>
      <w:tr w14:paraId="33D669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5D3571EB">
            <w:pPr>
              <w:widowControl/>
              <w:jc w:val="center"/>
              <w:rPr>
                <w:rFonts w:hint="eastAsia" w:ascii="宋体" w:hAnsi="宋体" w:cs="宋体"/>
                <w:color w:val="000000"/>
                <w:kern w:val="0"/>
                <w:sz w:val="24"/>
              </w:rPr>
            </w:pPr>
            <w:r>
              <w:rPr>
                <w:rFonts w:ascii="宋体" w:hAnsi="宋体" w:cs="宋体"/>
                <w:color w:val="000000"/>
                <w:kern w:val="0"/>
                <w:sz w:val="24"/>
              </w:rPr>
              <w:t>10</w:t>
            </w:r>
          </w:p>
        </w:tc>
        <w:tc>
          <w:tcPr>
            <w:tcW w:w="2951" w:type="dxa"/>
            <w:vMerge w:val="continue"/>
            <w:noWrap w:val="0"/>
            <w:vAlign w:val="center"/>
          </w:tcPr>
          <w:p w14:paraId="3642C32E">
            <w:pPr>
              <w:widowControl/>
              <w:jc w:val="center"/>
              <w:rPr>
                <w:rFonts w:ascii="宋体" w:hAnsi="宋体" w:cs="宋体"/>
                <w:kern w:val="0"/>
                <w:sz w:val="24"/>
              </w:rPr>
            </w:pPr>
          </w:p>
        </w:tc>
        <w:tc>
          <w:tcPr>
            <w:tcW w:w="4369" w:type="dxa"/>
            <w:noWrap/>
            <w:vAlign w:val="center"/>
          </w:tcPr>
          <w:p w14:paraId="2CB3F9E3">
            <w:pPr>
              <w:widowControl/>
              <w:jc w:val="left"/>
              <w:rPr>
                <w:sz w:val="24"/>
              </w:rPr>
            </w:pPr>
            <w:r>
              <w:rPr>
                <w:rFonts w:hint="eastAsia"/>
                <w:sz w:val="24"/>
              </w:rPr>
              <w:t>北京体育大学出版社有限公司</w:t>
            </w:r>
          </w:p>
        </w:tc>
      </w:tr>
      <w:tr w14:paraId="0B3E630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081E1865">
            <w:pPr>
              <w:widowControl/>
              <w:jc w:val="center"/>
              <w:rPr>
                <w:rFonts w:hint="eastAsia" w:ascii="宋体" w:hAnsi="宋体" w:cs="宋体"/>
                <w:color w:val="000000"/>
                <w:kern w:val="0"/>
                <w:sz w:val="24"/>
              </w:rPr>
            </w:pPr>
            <w:r>
              <w:rPr>
                <w:rFonts w:ascii="宋体" w:hAnsi="宋体" w:cs="宋体"/>
                <w:color w:val="000000"/>
                <w:kern w:val="0"/>
                <w:sz w:val="24"/>
              </w:rPr>
              <w:t>11</w:t>
            </w:r>
          </w:p>
        </w:tc>
        <w:tc>
          <w:tcPr>
            <w:tcW w:w="2951" w:type="dxa"/>
            <w:vMerge w:val="continue"/>
            <w:noWrap w:val="0"/>
            <w:vAlign w:val="center"/>
          </w:tcPr>
          <w:p w14:paraId="6D2B5028">
            <w:pPr>
              <w:widowControl/>
              <w:jc w:val="center"/>
              <w:rPr>
                <w:rFonts w:ascii="宋体" w:hAnsi="宋体" w:cs="宋体"/>
                <w:kern w:val="0"/>
                <w:sz w:val="24"/>
              </w:rPr>
            </w:pPr>
          </w:p>
        </w:tc>
        <w:tc>
          <w:tcPr>
            <w:tcW w:w="4369" w:type="dxa"/>
            <w:noWrap/>
            <w:vAlign w:val="center"/>
          </w:tcPr>
          <w:p w14:paraId="3FBBCD8B">
            <w:pPr>
              <w:widowControl/>
              <w:jc w:val="left"/>
              <w:rPr>
                <w:rFonts w:hint="eastAsia"/>
                <w:sz w:val="24"/>
              </w:rPr>
            </w:pPr>
            <w:r>
              <w:rPr>
                <w:rFonts w:hint="eastAsia"/>
                <w:sz w:val="24"/>
              </w:rPr>
              <w:t>喀什出版社</w:t>
            </w:r>
          </w:p>
        </w:tc>
      </w:tr>
      <w:tr w14:paraId="59C4897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091060E9">
            <w:pPr>
              <w:widowControl/>
              <w:jc w:val="center"/>
              <w:rPr>
                <w:rFonts w:hint="eastAsia" w:ascii="宋体" w:hAnsi="宋体" w:cs="宋体"/>
                <w:color w:val="000000"/>
                <w:kern w:val="0"/>
                <w:sz w:val="24"/>
              </w:rPr>
            </w:pPr>
            <w:r>
              <w:rPr>
                <w:rFonts w:ascii="宋体" w:hAnsi="宋体" w:cs="宋体"/>
                <w:color w:val="000000"/>
                <w:kern w:val="0"/>
                <w:sz w:val="24"/>
              </w:rPr>
              <w:t>12</w:t>
            </w:r>
          </w:p>
        </w:tc>
        <w:tc>
          <w:tcPr>
            <w:tcW w:w="2951" w:type="dxa"/>
            <w:vMerge w:val="continue"/>
            <w:noWrap w:val="0"/>
            <w:vAlign w:val="center"/>
          </w:tcPr>
          <w:p w14:paraId="527FF967">
            <w:pPr>
              <w:widowControl/>
              <w:jc w:val="center"/>
              <w:rPr>
                <w:rFonts w:ascii="宋体" w:hAnsi="宋体" w:cs="宋体"/>
                <w:kern w:val="0"/>
                <w:sz w:val="24"/>
              </w:rPr>
            </w:pPr>
          </w:p>
        </w:tc>
        <w:tc>
          <w:tcPr>
            <w:tcW w:w="4369" w:type="dxa"/>
            <w:noWrap/>
            <w:vAlign w:val="center"/>
          </w:tcPr>
          <w:p w14:paraId="16276F5E">
            <w:pPr>
              <w:widowControl/>
              <w:jc w:val="left"/>
              <w:rPr>
                <w:rFonts w:hint="eastAsia"/>
                <w:sz w:val="24"/>
              </w:rPr>
            </w:pPr>
            <w:r>
              <w:rPr>
                <w:rFonts w:hint="eastAsia"/>
                <w:sz w:val="24"/>
              </w:rPr>
              <w:t>方圆电子音像出版社有限责任公司</w:t>
            </w:r>
          </w:p>
        </w:tc>
      </w:tr>
      <w:tr w14:paraId="23F20B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56AD8F14">
            <w:pPr>
              <w:widowControl/>
              <w:jc w:val="center"/>
              <w:rPr>
                <w:rFonts w:ascii="宋体" w:hAnsi="宋体" w:cs="宋体"/>
                <w:color w:val="000000"/>
                <w:kern w:val="0"/>
                <w:sz w:val="24"/>
              </w:rPr>
            </w:pPr>
          </w:p>
        </w:tc>
        <w:tc>
          <w:tcPr>
            <w:tcW w:w="2951" w:type="dxa"/>
            <w:vMerge w:val="continue"/>
            <w:noWrap w:val="0"/>
            <w:vAlign w:val="center"/>
          </w:tcPr>
          <w:p w14:paraId="4571E50D">
            <w:pPr>
              <w:widowControl/>
              <w:jc w:val="center"/>
              <w:rPr>
                <w:rFonts w:ascii="宋体" w:hAnsi="宋体" w:cs="宋体"/>
                <w:kern w:val="0"/>
                <w:sz w:val="24"/>
              </w:rPr>
            </w:pPr>
          </w:p>
        </w:tc>
        <w:tc>
          <w:tcPr>
            <w:tcW w:w="4369" w:type="dxa"/>
            <w:noWrap/>
            <w:vAlign w:val="center"/>
          </w:tcPr>
          <w:p w14:paraId="1F0373B2">
            <w:pPr>
              <w:widowControl/>
              <w:jc w:val="left"/>
              <w:rPr>
                <w:rFonts w:hint="eastAsia"/>
                <w:sz w:val="24"/>
              </w:rPr>
            </w:pPr>
            <w:r>
              <w:rPr>
                <w:rFonts w:hint="eastAsia"/>
                <w:sz w:val="24"/>
              </w:rPr>
              <w:t>重庆大学电子音像出</w:t>
            </w:r>
            <w:bookmarkStart w:id="0" w:name="_GoBack"/>
            <w:bookmarkEnd w:id="0"/>
            <w:r>
              <w:rPr>
                <w:rFonts w:hint="eastAsia"/>
                <w:sz w:val="24"/>
              </w:rPr>
              <w:t>版社有限公司</w:t>
            </w:r>
          </w:p>
        </w:tc>
      </w:tr>
      <w:tr w14:paraId="63DEDD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6C7481CE">
            <w:pPr>
              <w:widowControl/>
              <w:jc w:val="center"/>
              <w:rPr>
                <w:rFonts w:hint="eastAsia" w:ascii="宋体" w:hAnsi="宋体" w:cs="宋体"/>
                <w:color w:val="000000"/>
                <w:kern w:val="0"/>
                <w:sz w:val="24"/>
              </w:rPr>
            </w:pPr>
            <w:r>
              <w:rPr>
                <w:rFonts w:ascii="宋体" w:hAnsi="宋体" w:cs="宋体"/>
                <w:color w:val="000000"/>
                <w:kern w:val="0"/>
                <w:sz w:val="24"/>
              </w:rPr>
              <w:t>13</w:t>
            </w:r>
          </w:p>
        </w:tc>
        <w:tc>
          <w:tcPr>
            <w:tcW w:w="2951" w:type="dxa"/>
            <w:vMerge w:val="continue"/>
            <w:noWrap w:val="0"/>
            <w:vAlign w:val="center"/>
          </w:tcPr>
          <w:p w14:paraId="6C333DAA">
            <w:pPr>
              <w:widowControl/>
              <w:jc w:val="center"/>
              <w:rPr>
                <w:rFonts w:ascii="宋体" w:hAnsi="宋体" w:cs="宋体"/>
                <w:kern w:val="0"/>
                <w:sz w:val="24"/>
              </w:rPr>
            </w:pPr>
          </w:p>
        </w:tc>
        <w:tc>
          <w:tcPr>
            <w:tcW w:w="4369" w:type="dxa"/>
            <w:noWrap/>
            <w:vAlign w:val="center"/>
          </w:tcPr>
          <w:p w14:paraId="474F6F51">
            <w:pPr>
              <w:widowControl/>
              <w:jc w:val="left"/>
              <w:rPr>
                <w:rFonts w:hint="eastAsia"/>
                <w:sz w:val="24"/>
              </w:rPr>
            </w:pPr>
            <w:r>
              <w:rPr>
                <w:rFonts w:hint="eastAsia"/>
                <w:sz w:val="24"/>
              </w:rPr>
              <w:t>冶金工业出版社有限公司</w:t>
            </w:r>
          </w:p>
        </w:tc>
      </w:tr>
      <w:tr w14:paraId="7A5296F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7C4A64ED">
            <w:pPr>
              <w:widowControl/>
              <w:jc w:val="center"/>
              <w:rPr>
                <w:rFonts w:ascii="宋体" w:hAnsi="宋体" w:cs="宋体"/>
                <w:color w:val="000000"/>
                <w:kern w:val="0"/>
                <w:sz w:val="24"/>
              </w:rPr>
            </w:pPr>
            <w:r>
              <w:rPr>
                <w:rFonts w:hint="eastAsia" w:ascii="宋体" w:hAnsi="宋体" w:cs="宋体"/>
                <w:color w:val="000000"/>
                <w:kern w:val="0"/>
                <w:sz w:val="24"/>
              </w:rPr>
              <w:t>14</w:t>
            </w:r>
          </w:p>
        </w:tc>
        <w:tc>
          <w:tcPr>
            <w:tcW w:w="2951" w:type="dxa"/>
            <w:vMerge w:val="continue"/>
            <w:noWrap w:val="0"/>
            <w:vAlign w:val="center"/>
          </w:tcPr>
          <w:p w14:paraId="6D8C7801">
            <w:pPr>
              <w:widowControl/>
              <w:jc w:val="center"/>
              <w:rPr>
                <w:rFonts w:ascii="宋体" w:hAnsi="宋体" w:cs="宋体"/>
                <w:kern w:val="0"/>
                <w:sz w:val="24"/>
              </w:rPr>
            </w:pPr>
          </w:p>
        </w:tc>
        <w:tc>
          <w:tcPr>
            <w:tcW w:w="4369" w:type="dxa"/>
            <w:noWrap/>
            <w:vAlign w:val="center"/>
          </w:tcPr>
          <w:p w14:paraId="741670C4">
            <w:pPr>
              <w:widowControl/>
              <w:jc w:val="left"/>
              <w:rPr>
                <w:rFonts w:hint="eastAsia"/>
                <w:sz w:val="24"/>
              </w:rPr>
            </w:pPr>
            <w:r>
              <w:rPr>
                <w:rFonts w:hint="eastAsia"/>
                <w:sz w:val="24"/>
              </w:rPr>
              <w:t>中译出版社</w:t>
            </w:r>
          </w:p>
        </w:tc>
      </w:tr>
      <w:tr w14:paraId="5798AA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56D3D149">
            <w:pPr>
              <w:widowControl/>
              <w:jc w:val="center"/>
              <w:rPr>
                <w:rFonts w:ascii="宋体" w:hAnsi="宋体" w:cs="宋体"/>
                <w:color w:val="000000"/>
                <w:kern w:val="0"/>
                <w:sz w:val="24"/>
              </w:rPr>
            </w:pPr>
            <w:r>
              <w:rPr>
                <w:rFonts w:hint="eastAsia" w:ascii="宋体" w:hAnsi="宋体" w:cs="宋体"/>
                <w:color w:val="000000"/>
                <w:kern w:val="0"/>
                <w:sz w:val="24"/>
              </w:rPr>
              <w:t>15</w:t>
            </w:r>
          </w:p>
        </w:tc>
        <w:tc>
          <w:tcPr>
            <w:tcW w:w="2951" w:type="dxa"/>
            <w:vMerge w:val="continue"/>
            <w:noWrap w:val="0"/>
            <w:vAlign w:val="center"/>
          </w:tcPr>
          <w:p w14:paraId="3EA4F483">
            <w:pPr>
              <w:widowControl/>
              <w:jc w:val="center"/>
              <w:rPr>
                <w:rFonts w:ascii="宋体" w:hAnsi="宋体" w:cs="宋体"/>
                <w:kern w:val="0"/>
                <w:sz w:val="24"/>
              </w:rPr>
            </w:pPr>
          </w:p>
        </w:tc>
        <w:tc>
          <w:tcPr>
            <w:tcW w:w="4369" w:type="dxa"/>
            <w:noWrap/>
            <w:vAlign w:val="center"/>
          </w:tcPr>
          <w:p w14:paraId="0ED9305D">
            <w:pPr>
              <w:widowControl/>
              <w:jc w:val="left"/>
              <w:rPr>
                <w:rFonts w:hint="eastAsia"/>
                <w:sz w:val="24"/>
              </w:rPr>
            </w:pPr>
            <w:r>
              <w:rPr>
                <w:rFonts w:hint="eastAsia"/>
                <w:sz w:val="24"/>
              </w:rPr>
              <w:t>北京大学</w:t>
            </w:r>
          </w:p>
        </w:tc>
      </w:tr>
      <w:tr w14:paraId="2A8DF51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6051FECC">
            <w:pPr>
              <w:widowControl/>
              <w:jc w:val="center"/>
              <w:rPr>
                <w:rFonts w:ascii="宋体" w:hAnsi="宋体" w:cs="宋体"/>
                <w:color w:val="000000"/>
                <w:kern w:val="0"/>
                <w:sz w:val="24"/>
              </w:rPr>
            </w:pPr>
            <w:r>
              <w:rPr>
                <w:rFonts w:hint="eastAsia" w:ascii="宋体" w:hAnsi="宋体" w:cs="宋体"/>
                <w:color w:val="000000"/>
                <w:kern w:val="0"/>
                <w:sz w:val="24"/>
              </w:rPr>
              <w:t>16</w:t>
            </w:r>
          </w:p>
        </w:tc>
        <w:tc>
          <w:tcPr>
            <w:tcW w:w="2951" w:type="dxa"/>
            <w:vMerge w:val="continue"/>
            <w:noWrap w:val="0"/>
            <w:vAlign w:val="center"/>
          </w:tcPr>
          <w:p w14:paraId="271FCCE9">
            <w:pPr>
              <w:widowControl/>
              <w:jc w:val="center"/>
              <w:rPr>
                <w:rFonts w:ascii="宋体" w:hAnsi="宋体" w:cs="宋体"/>
                <w:kern w:val="0"/>
                <w:sz w:val="24"/>
              </w:rPr>
            </w:pPr>
          </w:p>
        </w:tc>
        <w:tc>
          <w:tcPr>
            <w:tcW w:w="4369" w:type="dxa"/>
            <w:noWrap/>
            <w:vAlign w:val="center"/>
          </w:tcPr>
          <w:p w14:paraId="30221C0A">
            <w:pPr>
              <w:widowControl/>
              <w:jc w:val="left"/>
              <w:rPr>
                <w:rFonts w:hint="eastAsia"/>
                <w:sz w:val="24"/>
              </w:rPr>
            </w:pPr>
            <w:r>
              <w:rPr>
                <w:rFonts w:hint="eastAsia"/>
                <w:sz w:val="24"/>
              </w:rPr>
              <w:t>香港专业教育学院（青衣）工程系</w:t>
            </w:r>
          </w:p>
        </w:tc>
      </w:tr>
      <w:tr w14:paraId="05A6176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78AE2019">
            <w:pPr>
              <w:widowControl/>
              <w:jc w:val="center"/>
              <w:rPr>
                <w:rFonts w:ascii="宋体" w:hAnsi="宋体" w:cs="宋体"/>
                <w:color w:val="000000"/>
                <w:kern w:val="0"/>
                <w:sz w:val="24"/>
              </w:rPr>
            </w:pPr>
            <w:r>
              <w:rPr>
                <w:rFonts w:hint="eastAsia" w:ascii="宋体" w:hAnsi="宋体" w:cs="宋体"/>
                <w:color w:val="000000"/>
                <w:kern w:val="0"/>
                <w:sz w:val="24"/>
              </w:rPr>
              <w:t>17</w:t>
            </w:r>
          </w:p>
        </w:tc>
        <w:tc>
          <w:tcPr>
            <w:tcW w:w="2951" w:type="dxa"/>
            <w:vMerge w:val="continue"/>
            <w:noWrap w:val="0"/>
            <w:vAlign w:val="center"/>
          </w:tcPr>
          <w:p w14:paraId="6AB6A7EB">
            <w:pPr>
              <w:widowControl/>
              <w:jc w:val="center"/>
              <w:rPr>
                <w:rFonts w:ascii="宋体" w:hAnsi="宋体" w:cs="宋体"/>
                <w:kern w:val="0"/>
                <w:sz w:val="24"/>
              </w:rPr>
            </w:pPr>
          </w:p>
        </w:tc>
        <w:tc>
          <w:tcPr>
            <w:tcW w:w="4369" w:type="dxa"/>
            <w:noWrap/>
            <w:vAlign w:val="center"/>
          </w:tcPr>
          <w:p w14:paraId="0C8683B0">
            <w:pPr>
              <w:widowControl/>
              <w:jc w:val="left"/>
              <w:rPr>
                <w:rFonts w:hint="eastAsia"/>
                <w:sz w:val="24"/>
              </w:rPr>
            </w:pPr>
            <w:r>
              <w:rPr>
                <w:rFonts w:hint="eastAsia"/>
                <w:sz w:val="24"/>
              </w:rPr>
              <w:t>香港工程师协会</w:t>
            </w:r>
          </w:p>
        </w:tc>
      </w:tr>
      <w:tr w14:paraId="24E81CD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6A966370">
            <w:pPr>
              <w:widowControl/>
              <w:jc w:val="center"/>
              <w:rPr>
                <w:rFonts w:ascii="宋体" w:hAnsi="宋体" w:cs="宋体"/>
                <w:color w:val="000000"/>
                <w:kern w:val="0"/>
                <w:sz w:val="24"/>
              </w:rPr>
            </w:pPr>
            <w:r>
              <w:rPr>
                <w:rFonts w:hint="eastAsia" w:ascii="宋体" w:hAnsi="宋体" w:cs="宋体"/>
                <w:color w:val="000000"/>
                <w:kern w:val="0"/>
                <w:sz w:val="24"/>
              </w:rPr>
              <w:t>18</w:t>
            </w:r>
          </w:p>
        </w:tc>
        <w:tc>
          <w:tcPr>
            <w:tcW w:w="2951" w:type="dxa"/>
            <w:vMerge w:val="continue"/>
            <w:noWrap w:val="0"/>
            <w:vAlign w:val="center"/>
          </w:tcPr>
          <w:p w14:paraId="3763597F">
            <w:pPr>
              <w:widowControl/>
              <w:jc w:val="center"/>
              <w:rPr>
                <w:rFonts w:ascii="宋体" w:hAnsi="宋体" w:cs="宋体"/>
                <w:kern w:val="0"/>
                <w:sz w:val="24"/>
              </w:rPr>
            </w:pPr>
          </w:p>
        </w:tc>
        <w:tc>
          <w:tcPr>
            <w:tcW w:w="4369" w:type="dxa"/>
            <w:noWrap/>
            <w:vAlign w:val="center"/>
          </w:tcPr>
          <w:p w14:paraId="7DC8A8D3">
            <w:pPr>
              <w:widowControl/>
              <w:jc w:val="left"/>
              <w:rPr>
                <w:rFonts w:hint="eastAsia"/>
                <w:sz w:val="24"/>
              </w:rPr>
            </w:pPr>
            <w:r>
              <w:rPr>
                <w:rFonts w:hint="eastAsia"/>
                <w:sz w:val="24"/>
              </w:rPr>
              <w:t>山东斯麦尔数字出版技术有限公司</w:t>
            </w:r>
          </w:p>
        </w:tc>
      </w:tr>
      <w:tr w14:paraId="6D1101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132CB3C6">
            <w:pPr>
              <w:widowControl/>
              <w:jc w:val="center"/>
              <w:rPr>
                <w:rFonts w:ascii="宋体" w:hAnsi="宋体" w:cs="宋体"/>
                <w:color w:val="000000"/>
                <w:kern w:val="0"/>
                <w:sz w:val="24"/>
              </w:rPr>
            </w:pPr>
            <w:r>
              <w:rPr>
                <w:rFonts w:hint="eastAsia" w:ascii="宋体" w:hAnsi="宋体" w:cs="宋体"/>
                <w:color w:val="000000"/>
                <w:kern w:val="0"/>
                <w:sz w:val="24"/>
              </w:rPr>
              <w:t>19</w:t>
            </w:r>
          </w:p>
        </w:tc>
        <w:tc>
          <w:tcPr>
            <w:tcW w:w="2951" w:type="dxa"/>
            <w:vMerge w:val="continue"/>
            <w:noWrap w:val="0"/>
            <w:vAlign w:val="center"/>
          </w:tcPr>
          <w:p w14:paraId="69EA3A5F">
            <w:pPr>
              <w:widowControl/>
              <w:jc w:val="center"/>
              <w:rPr>
                <w:rFonts w:ascii="宋体" w:hAnsi="宋体" w:cs="宋体"/>
                <w:kern w:val="0"/>
                <w:sz w:val="24"/>
              </w:rPr>
            </w:pPr>
          </w:p>
        </w:tc>
        <w:tc>
          <w:tcPr>
            <w:tcW w:w="4369" w:type="dxa"/>
            <w:noWrap/>
            <w:vAlign w:val="center"/>
          </w:tcPr>
          <w:p w14:paraId="3448B0A2">
            <w:pPr>
              <w:widowControl/>
              <w:jc w:val="left"/>
              <w:rPr>
                <w:rFonts w:hint="eastAsia"/>
                <w:sz w:val="24"/>
              </w:rPr>
            </w:pPr>
            <w:r>
              <w:rPr>
                <w:rFonts w:hint="eastAsia"/>
                <w:sz w:val="24"/>
              </w:rPr>
              <w:t>广通智荟（北京）数智科技有限公司</w:t>
            </w:r>
          </w:p>
        </w:tc>
      </w:tr>
      <w:tr w14:paraId="24518D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7B9FD17B">
            <w:pPr>
              <w:widowControl/>
              <w:jc w:val="center"/>
              <w:rPr>
                <w:rFonts w:ascii="宋体" w:hAnsi="宋体" w:cs="宋体"/>
                <w:color w:val="000000"/>
                <w:kern w:val="0"/>
                <w:sz w:val="24"/>
              </w:rPr>
            </w:pPr>
            <w:r>
              <w:rPr>
                <w:rFonts w:hint="eastAsia" w:ascii="宋体" w:hAnsi="宋体" w:cs="宋体"/>
                <w:color w:val="000000"/>
                <w:kern w:val="0"/>
                <w:sz w:val="24"/>
              </w:rPr>
              <w:t>20</w:t>
            </w:r>
          </w:p>
        </w:tc>
        <w:tc>
          <w:tcPr>
            <w:tcW w:w="2951" w:type="dxa"/>
            <w:vMerge w:val="continue"/>
            <w:noWrap w:val="0"/>
            <w:vAlign w:val="center"/>
          </w:tcPr>
          <w:p w14:paraId="77EC0193">
            <w:pPr>
              <w:widowControl/>
              <w:jc w:val="center"/>
              <w:rPr>
                <w:rFonts w:ascii="宋体" w:hAnsi="宋体" w:cs="宋体"/>
                <w:kern w:val="0"/>
                <w:sz w:val="24"/>
              </w:rPr>
            </w:pPr>
          </w:p>
        </w:tc>
        <w:tc>
          <w:tcPr>
            <w:tcW w:w="4369" w:type="dxa"/>
            <w:noWrap/>
            <w:vAlign w:val="center"/>
          </w:tcPr>
          <w:p w14:paraId="7C8CE28B">
            <w:pPr>
              <w:widowControl/>
              <w:jc w:val="left"/>
              <w:rPr>
                <w:rFonts w:hint="eastAsia"/>
                <w:sz w:val="24"/>
              </w:rPr>
            </w:pPr>
            <w:r>
              <w:rPr>
                <w:rFonts w:hint="eastAsia"/>
                <w:sz w:val="24"/>
              </w:rPr>
              <w:t>中图科信数智技术（北京）有限公司</w:t>
            </w:r>
          </w:p>
        </w:tc>
      </w:tr>
      <w:tr w14:paraId="7AB5478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0ECFAD76">
            <w:pPr>
              <w:widowControl/>
              <w:jc w:val="center"/>
              <w:rPr>
                <w:rFonts w:ascii="宋体" w:hAnsi="宋体" w:cs="宋体"/>
                <w:color w:val="000000"/>
                <w:kern w:val="0"/>
                <w:sz w:val="24"/>
              </w:rPr>
            </w:pPr>
            <w:r>
              <w:rPr>
                <w:rFonts w:hint="eastAsia" w:ascii="宋体" w:hAnsi="宋体" w:cs="宋体"/>
                <w:color w:val="000000"/>
                <w:kern w:val="0"/>
                <w:sz w:val="24"/>
              </w:rPr>
              <w:t>21</w:t>
            </w:r>
          </w:p>
        </w:tc>
        <w:tc>
          <w:tcPr>
            <w:tcW w:w="2951" w:type="dxa"/>
            <w:vMerge w:val="continue"/>
            <w:noWrap w:val="0"/>
            <w:vAlign w:val="center"/>
          </w:tcPr>
          <w:p w14:paraId="43DB1C44">
            <w:pPr>
              <w:widowControl/>
              <w:jc w:val="center"/>
              <w:rPr>
                <w:rFonts w:ascii="宋体" w:hAnsi="宋体" w:cs="宋体"/>
                <w:kern w:val="0"/>
                <w:sz w:val="24"/>
              </w:rPr>
            </w:pPr>
          </w:p>
        </w:tc>
        <w:tc>
          <w:tcPr>
            <w:tcW w:w="4369" w:type="dxa"/>
            <w:noWrap/>
            <w:vAlign w:val="center"/>
          </w:tcPr>
          <w:p w14:paraId="1C016C44">
            <w:pPr>
              <w:widowControl/>
              <w:jc w:val="left"/>
              <w:rPr>
                <w:rFonts w:hint="eastAsia"/>
                <w:sz w:val="24"/>
              </w:rPr>
            </w:pPr>
            <w:r>
              <w:rPr>
                <w:rFonts w:hint="eastAsia"/>
                <w:sz w:val="24"/>
              </w:rPr>
              <w:t>联通沃悦读科技文化有限公司</w:t>
            </w:r>
          </w:p>
        </w:tc>
      </w:tr>
      <w:tr w14:paraId="53320B0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299AEE2F">
            <w:pPr>
              <w:widowControl/>
              <w:jc w:val="center"/>
              <w:rPr>
                <w:rFonts w:ascii="宋体" w:hAnsi="宋体" w:cs="宋体"/>
                <w:color w:val="000000"/>
                <w:kern w:val="0"/>
                <w:sz w:val="24"/>
              </w:rPr>
            </w:pPr>
            <w:r>
              <w:rPr>
                <w:rFonts w:hint="eastAsia" w:ascii="宋体" w:hAnsi="宋体" w:cs="宋体"/>
                <w:color w:val="000000"/>
                <w:kern w:val="0"/>
                <w:sz w:val="24"/>
              </w:rPr>
              <w:t>22</w:t>
            </w:r>
          </w:p>
        </w:tc>
        <w:tc>
          <w:tcPr>
            <w:tcW w:w="2951" w:type="dxa"/>
            <w:vMerge w:val="continue"/>
            <w:noWrap w:val="0"/>
            <w:vAlign w:val="center"/>
          </w:tcPr>
          <w:p w14:paraId="13026A48">
            <w:pPr>
              <w:widowControl/>
              <w:jc w:val="center"/>
              <w:rPr>
                <w:rFonts w:ascii="宋体" w:hAnsi="宋体" w:cs="宋体"/>
                <w:kern w:val="0"/>
                <w:sz w:val="24"/>
              </w:rPr>
            </w:pPr>
          </w:p>
        </w:tc>
        <w:tc>
          <w:tcPr>
            <w:tcW w:w="4369" w:type="dxa"/>
            <w:noWrap/>
            <w:vAlign w:val="center"/>
          </w:tcPr>
          <w:p w14:paraId="6F435CBB">
            <w:pPr>
              <w:widowControl/>
              <w:jc w:val="left"/>
              <w:rPr>
                <w:rFonts w:hint="eastAsia"/>
                <w:sz w:val="24"/>
              </w:rPr>
            </w:pPr>
            <w:r>
              <w:rPr>
                <w:rFonts w:hint="eastAsia"/>
                <w:sz w:val="24"/>
              </w:rPr>
              <w:t>重庆华略数字文化研究院</w:t>
            </w:r>
          </w:p>
        </w:tc>
      </w:tr>
      <w:tr w14:paraId="0E2B10A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1DB6D3D6">
            <w:pPr>
              <w:widowControl/>
              <w:jc w:val="center"/>
              <w:rPr>
                <w:rFonts w:ascii="宋体" w:hAnsi="宋体" w:cs="宋体"/>
                <w:color w:val="000000"/>
                <w:kern w:val="0"/>
                <w:sz w:val="24"/>
              </w:rPr>
            </w:pPr>
            <w:r>
              <w:rPr>
                <w:rFonts w:hint="eastAsia" w:ascii="宋体" w:hAnsi="宋体" w:cs="宋体"/>
                <w:color w:val="000000"/>
                <w:kern w:val="0"/>
                <w:sz w:val="24"/>
              </w:rPr>
              <w:t>23</w:t>
            </w:r>
          </w:p>
        </w:tc>
        <w:tc>
          <w:tcPr>
            <w:tcW w:w="2951" w:type="dxa"/>
            <w:vMerge w:val="continue"/>
            <w:noWrap w:val="0"/>
            <w:vAlign w:val="center"/>
          </w:tcPr>
          <w:p w14:paraId="23687B16">
            <w:pPr>
              <w:widowControl/>
              <w:jc w:val="center"/>
              <w:rPr>
                <w:rFonts w:ascii="宋体" w:hAnsi="宋体" w:cs="宋体"/>
                <w:kern w:val="0"/>
                <w:sz w:val="24"/>
              </w:rPr>
            </w:pPr>
          </w:p>
        </w:tc>
        <w:tc>
          <w:tcPr>
            <w:tcW w:w="4369" w:type="dxa"/>
            <w:noWrap/>
            <w:vAlign w:val="center"/>
          </w:tcPr>
          <w:p w14:paraId="38ADCDB5">
            <w:pPr>
              <w:widowControl/>
              <w:jc w:val="left"/>
              <w:rPr>
                <w:rFonts w:hint="eastAsia"/>
                <w:sz w:val="24"/>
              </w:rPr>
            </w:pPr>
            <w:r>
              <w:rPr>
                <w:rFonts w:hint="eastAsia"/>
                <w:sz w:val="24"/>
              </w:rPr>
              <w:t>重庆市重报大数据研究院</w:t>
            </w:r>
          </w:p>
        </w:tc>
      </w:tr>
      <w:tr w14:paraId="2830EF3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noWrap/>
            <w:vAlign w:val="center"/>
          </w:tcPr>
          <w:p w14:paraId="182A7116">
            <w:pPr>
              <w:widowControl/>
              <w:jc w:val="center"/>
              <w:rPr>
                <w:rFonts w:ascii="宋体" w:hAnsi="宋体" w:cs="宋体"/>
                <w:color w:val="000000"/>
                <w:kern w:val="0"/>
                <w:sz w:val="24"/>
              </w:rPr>
            </w:pPr>
            <w:r>
              <w:rPr>
                <w:rFonts w:hint="eastAsia" w:ascii="宋体" w:hAnsi="宋体" w:cs="宋体"/>
                <w:color w:val="000000"/>
                <w:kern w:val="0"/>
                <w:sz w:val="24"/>
              </w:rPr>
              <w:t>24</w:t>
            </w:r>
          </w:p>
        </w:tc>
        <w:tc>
          <w:tcPr>
            <w:tcW w:w="2951" w:type="dxa"/>
            <w:vMerge w:val="continue"/>
            <w:noWrap w:val="0"/>
            <w:vAlign w:val="center"/>
          </w:tcPr>
          <w:p w14:paraId="2676CC14">
            <w:pPr>
              <w:widowControl/>
              <w:jc w:val="center"/>
              <w:rPr>
                <w:rFonts w:ascii="宋体" w:hAnsi="宋体" w:cs="宋体"/>
                <w:kern w:val="0"/>
                <w:sz w:val="24"/>
              </w:rPr>
            </w:pPr>
          </w:p>
        </w:tc>
        <w:tc>
          <w:tcPr>
            <w:tcW w:w="4369" w:type="dxa"/>
            <w:noWrap/>
            <w:vAlign w:val="center"/>
          </w:tcPr>
          <w:p w14:paraId="5564BD4D">
            <w:pPr>
              <w:widowControl/>
              <w:jc w:val="left"/>
              <w:rPr>
                <w:rFonts w:hint="eastAsia"/>
                <w:sz w:val="24"/>
              </w:rPr>
            </w:pPr>
            <w:r>
              <w:rPr>
                <w:rFonts w:hint="eastAsia"/>
                <w:sz w:val="24"/>
              </w:rPr>
              <w:t>北京今朝视界文化传媒有限公司</w:t>
            </w:r>
          </w:p>
        </w:tc>
      </w:tr>
    </w:tbl>
    <w:p w14:paraId="0B04DA58">
      <w:pPr>
        <w:numPr>
          <w:ilvl w:val="0"/>
          <w:numId w:val="0"/>
        </w:numPr>
        <w:adjustRightInd w:val="0"/>
        <w:snapToGrid w:val="0"/>
        <w:spacing w:before="156" w:beforeLines="50" w:line="360" w:lineRule="auto"/>
        <w:rPr>
          <w:rFonts w:hint="default" w:ascii="Times New Roman" w:hAnsi="Times New Roman" w:eastAsia="宋体" w:cs="Times New Roman"/>
          <w:kern w:val="2"/>
          <w:sz w:val="24"/>
          <w:szCs w:val="24"/>
          <w:highlight w:val="none"/>
          <w:lang w:val="en-US" w:eastAsia="zh-CN" w:bidi="ar-SA"/>
        </w:rPr>
      </w:pPr>
    </w:p>
    <w:p w14:paraId="41B50A8B">
      <w:pPr>
        <w:pStyle w:val="4"/>
        <w:numPr>
          <w:ilvl w:val="0"/>
          <w:numId w:val="0"/>
        </w:num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五</w:t>
      </w:r>
      <w:r>
        <w:rPr>
          <w:rFonts w:hint="default" w:ascii="Times New Roman" w:hAnsi="Times New Roman" w:eastAsia="宋体" w:cs="Times New Roman"/>
          <w:kern w:val="2"/>
          <w:sz w:val="24"/>
          <w:szCs w:val="24"/>
          <w:lang w:val="en-US" w:eastAsia="zh-CN" w:bidi="ar-SA"/>
        </w:rPr>
        <w:t>）主</w:t>
      </w:r>
      <w:r>
        <w:rPr>
          <w:rFonts w:hint="default" w:ascii="Times New Roman" w:hAnsi="Times New Roman" w:eastAsia="宋体" w:cs="Times New Roman"/>
          <w:sz w:val="24"/>
          <w:szCs w:val="24"/>
          <w:lang w:val="en-US" w:eastAsia="zh-CN"/>
        </w:rPr>
        <w:t>要工作过程</w:t>
      </w:r>
    </w:p>
    <w:p w14:paraId="5150C858">
      <w:pPr>
        <w:pStyle w:val="14"/>
        <w:tabs>
          <w:tab w:val="center" w:pos="4201"/>
          <w:tab w:val="right" w:leader="dot" w:pos="9298"/>
        </w:tabs>
        <w:spacing w:line="360" w:lineRule="auto"/>
        <w:ind w:firstLine="0" w:firstLineChars="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eastAsia="宋体" w:cs="Times New Roman"/>
          <w:sz w:val="24"/>
          <w:szCs w:val="24"/>
        </w:rPr>
        <w:t>立项阶段</w:t>
      </w:r>
    </w:p>
    <w:p w14:paraId="58C696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2025年6月，全国新闻出版标准化技术委员会向国家新闻出版署提交“关于《出版业人工智能语料加工要求》行业标准的立项申报”。</w:t>
      </w:r>
    </w:p>
    <w:p w14:paraId="1F0E3C5C">
      <w:pPr>
        <w:keepNext w:val="0"/>
        <w:keepLines w:val="0"/>
        <w:pageBreakBefore w:val="0"/>
        <w:kinsoku/>
        <w:wordWrap/>
        <w:overflowPunct/>
        <w:topLinePunct w:val="0"/>
        <w:autoSpaceDE w:val="0"/>
        <w:autoSpaceDN w:val="0"/>
        <w:bidi w:val="0"/>
        <w:spacing w:line="360" w:lineRule="auto"/>
        <w:ind w:firstLine="480" w:firstLineChars="200"/>
        <w:jc w:val="both"/>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bidi="ar-SA"/>
        </w:rPr>
        <w:t>2025年7月25日，国家新闻出版署对该标准制定项目正式下达年度计划。</w:t>
      </w:r>
    </w:p>
    <w:p w14:paraId="4CFD614A">
      <w:pPr>
        <w:pStyle w:val="14"/>
        <w:tabs>
          <w:tab w:val="center" w:pos="4201"/>
          <w:tab w:val="right" w:leader="dot" w:pos="9298"/>
        </w:tabs>
        <w:spacing w:line="360" w:lineRule="auto"/>
        <w:ind w:firstLine="0" w:firstLineChars="0"/>
        <w:rPr>
          <w:rFonts w:hint="default" w:ascii="Times New Roman" w:hAnsi="Times New Roman" w:eastAsia="宋体" w:cs="Times New Roman"/>
          <w:sz w:val="24"/>
          <w:szCs w:val="24"/>
        </w:rPr>
      </w:pPr>
      <w:r>
        <w:rPr>
          <w:rFonts w:hint="default" w:ascii="Times New Roman" w:hAnsi="Times New Roman" w:cs="Times New Roman"/>
          <w:sz w:val="24"/>
          <w:szCs w:val="24"/>
          <w:lang w:val="en-US" w:eastAsia="zh-CN"/>
        </w:rPr>
        <w:t>2.</w:t>
      </w:r>
      <w:r>
        <w:rPr>
          <w:rFonts w:hint="default" w:ascii="Times New Roman" w:hAnsi="Times New Roman" w:eastAsia="宋体" w:cs="Times New Roman"/>
          <w:sz w:val="24"/>
          <w:szCs w:val="24"/>
        </w:rPr>
        <w:t>起草阶段</w:t>
      </w:r>
    </w:p>
    <w:p w14:paraId="1E6F9AA5">
      <w:pPr>
        <w:pStyle w:val="14"/>
        <w:tabs>
          <w:tab w:val="center" w:pos="4201"/>
          <w:tab w:val="right" w:leader="dot" w:pos="9298"/>
        </w:tabs>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2025年7月底国家新闻出版署下达年度计划以来，项目组成立核心起草组，明确牵头单位内部的执笔人、统稿人及各参与单位的联络人，建立协作机制；进行行业走访与需求调研，与广东出版集团旗下南方出版集团下属各单位进行走访，收集人工智能在出版行业应用过程中出现的各类安全问题，设计应对措施；实施启动会筹备工作，包括确定会议方案，制作及分发会议材料等。</w:t>
      </w:r>
    </w:p>
    <w:p w14:paraId="1139930D">
      <w:pPr>
        <w:pStyle w:val="14"/>
        <w:tabs>
          <w:tab w:val="center" w:pos="4201"/>
          <w:tab w:val="right" w:leader="dot" w:pos="9298"/>
        </w:tabs>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2025年11月4日，由全国新闻出版标准化技术委员会在广州珠江宾馆组织召开了“新闻出版行业标准《出版业人工智能应用安全要求》《出版业人工智能语料加工要求》研制工作启动会”，会上正式成立了标准起草工作组，确定了组长单位、副组长单位及成员单位的组成。中宣部出版局有关领导出席并对标准制定从管理角度提出了要求。与会人员对《出版业人工智能语料加工要求》行业标准的草案进行了充分讨论并提出了修改意见。</w:t>
      </w:r>
    </w:p>
    <w:p w14:paraId="04A2E1DF">
      <w:pPr>
        <w:pStyle w:val="14"/>
        <w:tabs>
          <w:tab w:val="center" w:pos="4201"/>
          <w:tab w:val="right" w:leader="dot" w:pos="9298"/>
        </w:tabs>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2025年12月，标准起草组在启动会会议意见的基础上，修改完成了标准初稿，并于12月19日在广东人民出版社举行“《出版业人工智能应用安全要求》与《出版业人工智能语料加工要求》两项新闻出版行业标准研讨会”，讨论决定《语料加工要求》47条反馈意见中，24条采纳、15条部分采纳、8条不采纳，为标准修改划定清晰边界。起草组根据会议意见，对标准初稿进行了修改形成了初稿修改稿。</w:t>
      </w:r>
    </w:p>
    <w:p w14:paraId="1E42A749">
      <w:pPr>
        <w:pStyle w:val="14"/>
        <w:tabs>
          <w:tab w:val="center" w:pos="4201"/>
          <w:tab w:val="right" w:leader="dot" w:pos="9298"/>
        </w:tabs>
        <w:spacing w:line="360" w:lineRule="auto"/>
        <w:ind w:firstLine="480"/>
        <w:rPr>
          <w:rFonts w:hint="default" w:ascii="Times New Roman" w:hAnsi="Times New Roman" w:eastAsia="宋体" w:cs="Times New Roman"/>
          <w:sz w:val="24"/>
          <w:szCs w:val="24"/>
        </w:rPr>
      </w:pPr>
      <w:r>
        <w:rPr>
          <w:rFonts w:hint="default" w:ascii="Times New Roman" w:hAnsi="Times New Roman" w:cs="Times New Roman"/>
          <w:sz w:val="24"/>
          <w:szCs w:val="24"/>
        </w:rPr>
        <w:t>2025年12月23日，标准起草组就初稿修改稿征求了全部13家起草工作组成员单位的意见，在收集内部起草工作组成员单位意见的基础上，修改形成了专家讨论稿，并于2026年1月8日在北京中国新闻出版研究院召开了“《出版业人工智能语料加工要求》标准专题调研会”，邀请了行业内专家共同参与对专家讨论稿提出了修改意见。1月30日，根据专题调研会的专家意见，对标准专家讨论稿进行了修改形成了专家讨论稿修改稿，并再次向起草工作组成员单位征求了意见</w:t>
      </w:r>
      <w:r>
        <w:rPr>
          <w:rFonts w:hint="default" w:ascii="Times New Roman" w:hAnsi="Times New Roman" w:cs="Times New Roman"/>
          <w:sz w:val="24"/>
          <w:szCs w:val="24"/>
          <w:lang w:val="en-US" w:eastAsia="zh-CN"/>
        </w:rPr>
        <w:t>并进行调整修改</w:t>
      </w:r>
      <w:r>
        <w:rPr>
          <w:rFonts w:hint="default" w:ascii="Times New Roman" w:hAnsi="Times New Roman" w:cs="Times New Roman"/>
          <w:sz w:val="24"/>
          <w:szCs w:val="24"/>
        </w:rPr>
        <w:t>。</w:t>
      </w:r>
    </w:p>
    <w:p w14:paraId="26C14527">
      <w:pPr>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both"/>
        <w:textAlignment w:val="baseline"/>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sz w:val="24"/>
          <w:szCs w:val="24"/>
          <w:highlight w:val="none"/>
          <w:lang w:val="en-US" w:eastAsia="zh-CN"/>
        </w:rPr>
        <w:t>2026年4月28日，</w:t>
      </w:r>
      <w:r>
        <w:rPr>
          <w:rFonts w:hint="default" w:ascii="Times New Roman" w:hAnsi="Times New Roman" w:eastAsia="宋体" w:cs="Times New Roman"/>
          <w:color w:val="auto"/>
          <w:kern w:val="2"/>
          <w:sz w:val="24"/>
          <w:szCs w:val="24"/>
          <w:lang w:val="en-US" w:eastAsia="zh-CN" w:bidi="ar-SA"/>
        </w:rPr>
        <w:t>全国新闻出版标准化技术委员会</w:t>
      </w:r>
      <w:r>
        <w:rPr>
          <w:rFonts w:hint="default" w:ascii="Times New Roman" w:hAnsi="Times New Roman" w:eastAsia="宋体" w:cs="Times New Roman"/>
          <w:sz w:val="24"/>
          <w:szCs w:val="24"/>
          <w:highlight w:val="none"/>
          <w:lang w:val="en-US" w:eastAsia="zh-CN"/>
        </w:rPr>
        <w:t>于北京铁道大厦召开第二次标准研讨会，</w:t>
      </w:r>
      <w:r>
        <w:rPr>
          <w:rFonts w:hint="default" w:ascii="Times New Roman" w:hAnsi="Times New Roman" w:cs="Times New Roman"/>
          <w:sz w:val="24"/>
          <w:szCs w:val="24"/>
          <w:lang w:val="en-US" w:eastAsia="zh-CN"/>
        </w:rPr>
        <w:t>起草组相关单位、互联网头部企业及出版业界专家对</w:t>
      </w:r>
      <w:r>
        <w:rPr>
          <w:rFonts w:hint="default" w:ascii="Times New Roman" w:hAnsi="Times New Roman" w:eastAsia="宋体" w:cs="Times New Roman"/>
          <w:color w:val="auto"/>
          <w:kern w:val="2"/>
          <w:sz w:val="24"/>
          <w:szCs w:val="24"/>
          <w:lang w:val="en-US" w:eastAsia="zh-CN" w:bidi="ar-SA"/>
        </w:rPr>
        <w:t>标准</w:t>
      </w:r>
      <w:r>
        <w:rPr>
          <w:rFonts w:hint="default" w:ascii="Times New Roman" w:hAnsi="Times New Roman" w:eastAsia="宋体" w:cs="Times New Roman"/>
          <w:color w:val="auto"/>
          <w:kern w:val="2"/>
          <w:sz w:val="24"/>
          <w:szCs w:val="24"/>
          <w:highlight w:val="none"/>
          <w:lang w:val="en-US" w:eastAsia="zh-CN" w:bidi="ar-SA"/>
        </w:rPr>
        <w:t>提出具有针对性与建设性的修改意见，</w:t>
      </w:r>
      <w:r>
        <w:rPr>
          <w:rFonts w:hint="default" w:ascii="Times New Roman" w:hAnsi="Times New Roman" w:eastAsia="宋体" w:cs="Times New Roman"/>
          <w:sz w:val="24"/>
          <w:szCs w:val="24"/>
        </w:rPr>
        <w:t>重点围绕标准定位适用边界、语料分类与加工流程、质量指标体系</w:t>
      </w:r>
      <w:r>
        <w:rPr>
          <w:rFonts w:hint="default" w:ascii="Times New Roman" w:hAnsi="Times New Roman" w:eastAsia="宋体" w:cs="Times New Roman"/>
          <w:sz w:val="24"/>
          <w:szCs w:val="24"/>
          <w:lang w:val="en-US" w:eastAsia="zh-CN"/>
        </w:rPr>
        <w:t>展开</w:t>
      </w:r>
      <w:r>
        <w:rPr>
          <w:rFonts w:hint="default" w:ascii="Times New Roman" w:hAnsi="Times New Roman" w:eastAsia="宋体" w:cs="Times New Roman"/>
          <w:sz w:val="24"/>
          <w:szCs w:val="24"/>
        </w:rPr>
        <w:t>研讨</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color w:val="auto"/>
          <w:kern w:val="2"/>
          <w:sz w:val="24"/>
          <w:szCs w:val="24"/>
          <w:lang w:val="en-US" w:eastAsia="zh-CN" w:bidi="ar-SA"/>
        </w:rPr>
        <w:t>2026年5月，工作组稿根据各方意见修改完善，经起草组内部确认后，最终形成标准征求意见稿。</w:t>
      </w:r>
    </w:p>
    <w:p w14:paraId="55685EE5">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二、标准编制原则和确定标准主要内容的论据</w:t>
      </w:r>
    </w:p>
    <w:p w14:paraId="52D0314C">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（一）标准编制原则</w:t>
      </w:r>
    </w:p>
    <w:p w14:paraId="3D8AA19D">
      <w:pPr>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both"/>
        <w:textAlignment w:val="baseline"/>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000000"/>
          <w:kern w:val="2"/>
          <w:sz w:val="24"/>
          <w:szCs w:val="24"/>
          <w:lang w:val="en-US" w:eastAsia="zh-CN" w:bidi="ar-SA"/>
        </w:rPr>
        <w:t>本标准按照GB/T 1.1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color w:val="000000"/>
          <w:kern w:val="2"/>
          <w:sz w:val="24"/>
          <w:szCs w:val="24"/>
          <w:lang w:val="en-US" w:eastAsia="zh-CN" w:bidi="ar-SA"/>
        </w:rPr>
        <w:t>2020给出的规则起草。</w:t>
      </w:r>
      <w:r>
        <w:rPr>
          <w:rFonts w:hint="default" w:ascii="Times New Roman" w:hAnsi="Times New Roman" w:eastAsia="宋体" w:cs="Times New Roman"/>
          <w:color w:val="auto"/>
          <w:kern w:val="2"/>
          <w:sz w:val="24"/>
          <w:szCs w:val="24"/>
          <w:lang w:val="en-US" w:eastAsia="zh-CN" w:bidi="ar-SA"/>
        </w:rPr>
        <w:t>在编制过程中，遵循前瞻性、一致性、准确性、可操作性等通用原则，具体包括：</w:t>
      </w:r>
    </w:p>
    <w:p w14:paraId="0402F387">
      <w:pPr>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both"/>
        <w:textAlignment w:val="baseline"/>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1. 前瞻性：保证本标准在未来五年内仍具备技术先进性和实际适用性。</w:t>
      </w:r>
    </w:p>
    <w:p w14:paraId="581305CE">
      <w:pPr>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both"/>
        <w:textAlignment w:val="baseline"/>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2. 一致性：确保本标准与现行相关行业标准协调一致，并为未来相关标准的制定提供依据与支持。</w:t>
      </w:r>
    </w:p>
    <w:p w14:paraId="14B826C5">
      <w:pPr>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both"/>
        <w:textAlignment w:val="baseline"/>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3. 准确性：力求标准文本中各类术语定义、技术规范等内容表述简明准确，避免产生歧义。</w:t>
      </w:r>
    </w:p>
    <w:p w14:paraId="4F9CDE70">
      <w:pPr>
        <w:keepNext w:val="0"/>
        <w:keepLines w:val="0"/>
        <w:pageBreakBefore w:val="0"/>
        <w:widowControl/>
        <w:kinsoku/>
        <w:wordWrap/>
        <w:overflowPunct/>
        <w:topLinePunct w:val="0"/>
        <w:autoSpaceDE w:val="0"/>
        <w:autoSpaceDN w:val="0"/>
        <w:bidi w:val="0"/>
        <w:adjustRightInd/>
        <w:snapToGrid/>
        <w:spacing w:line="360" w:lineRule="auto"/>
        <w:ind w:firstLine="480" w:firstLineChars="200"/>
        <w:jc w:val="both"/>
        <w:textAlignment w:val="baseline"/>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4. 可操作性：注重标准中技术规定与实施方法的可实现性和易操作性，确保其在实际应用中便于执行。</w:t>
      </w:r>
    </w:p>
    <w:p w14:paraId="71784A0A">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line="400" w:lineRule="exact"/>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标准主要内容</w:t>
      </w:r>
    </w:p>
    <w:p w14:paraId="605163F1">
      <w:pPr>
        <w:spacing w:line="360" w:lineRule="auto"/>
        <w:ind w:firstLine="480" w:firstLineChars="200"/>
        <w:rPr>
          <w:rFonts w:hint="default" w:ascii="Times New Roman" w:hAnsi="Times New Roman" w:eastAsia="宋体" w:cs="Times New Roman"/>
          <w:b/>
          <w:lang w:val="en-US" w:eastAsia="zh-CN"/>
        </w:rPr>
      </w:pPr>
      <w:r>
        <w:rPr>
          <w:rFonts w:hint="default" w:ascii="Times New Roman" w:hAnsi="Times New Roman" w:cs="Times New Roman"/>
          <w:sz w:val="24"/>
          <w:lang w:val="en-US" w:eastAsia="zh-CN"/>
        </w:rPr>
        <w:t xml:space="preserve">1. </w:t>
      </w:r>
      <w:r>
        <w:rPr>
          <w:rFonts w:hint="default" w:ascii="Times New Roman" w:hAnsi="Times New Roman" w:eastAsia="宋体" w:cs="Times New Roman"/>
          <w:sz w:val="24"/>
        </w:rPr>
        <w:t>范围</w:t>
      </w:r>
    </w:p>
    <w:p w14:paraId="4529FA77">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本文件规定了出版业人工智能语料加工的总体原则、语料数据构建、语料质量要求、加工保障等全流程要求。</w:t>
      </w:r>
    </w:p>
    <w:p w14:paraId="6D195277">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本文件适用于出版机构、技术提供商及相关单位开展图书、期刊、报纸、音像制品、数字出版物及其他网络出版物等多模态语料的加工活动。</w:t>
      </w:r>
    </w:p>
    <w:p w14:paraId="003A4645">
      <w:pPr>
        <w:spacing w:line="360" w:lineRule="auto"/>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2. 主要技术内容</w:t>
      </w:r>
    </w:p>
    <w:p w14:paraId="69AE6061">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lang w:eastAsia="zh-CN"/>
        </w:rPr>
        <w:t>）</w:t>
      </w:r>
      <w:r>
        <w:rPr>
          <w:rFonts w:hint="default" w:ascii="Times New Roman" w:hAnsi="Times New Roman" w:eastAsia="宋体" w:cs="Times New Roman"/>
          <w:sz w:val="24"/>
          <w:szCs w:val="24"/>
        </w:rPr>
        <w:t>语料数据构建</w:t>
      </w:r>
      <w:r>
        <w:rPr>
          <w:rFonts w:hint="default" w:ascii="Times New Roman" w:hAnsi="Times New Roman" w:eastAsia="宋体" w:cs="Times New Roman"/>
          <w:sz w:val="24"/>
          <w:szCs w:val="24"/>
          <w:lang w:eastAsia="zh-CN"/>
        </w:rPr>
        <w:t>。</w:t>
      </w:r>
      <w:r>
        <w:rPr>
          <w:rFonts w:hint="eastAsia" w:ascii="Times New Roman" w:hAnsi="Times New Roman" w:cs="Times New Roman"/>
          <w:sz w:val="24"/>
          <w:szCs w:val="24"/>
          <w:lang w:val="en-US" w:eastAsia="zh-CN"/>
        </w:rPr>
        <w:t>对</w:t>
      </w:r>
      <w:r>
        <w:rPr>
          <w:rFonts w:hint="default" w:ascii="Times New Roman" w:hAnsi="Times New Roman" w:eastAsia="宋体" w:cs="Times New Roman"/>
          <w:sz w:val="24"/>
          <w:szCs w:val="24"/>
        </w:rPr>
        <w:t>语料资源采集</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语料预处理</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语料加工</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语料输出</w:t>
      </w:r>
      <w:r>
        <w:rPr>
          <w:rFonts w:hint="eastAsia" w:ascii="Times New Roman" w:hAnsi="Times New Roman" w:cs="Times New Roman"/>
          <w:sz w:val="24"/>
          <w:szCs w:val="24"/>
          <w:lang w:val="en-US" w:eastAsia="zh-CN"/>
        </w:rPr>
        <w:t>及</w:t>
      </w:r>
      <w:r>
        <w:rPr>
          <w:rFonts w:hint="default" w:ascii="Times New Roman" w:hAnsi="Times New Roman" w:eastAsia="宋体" w:cs="Times New Roman"/>
          <w:sz w:val="24"/>
          <w:szCs w:val="24"/>
        </w:rPr>
        <w:t>语料交付</w:t>
      </w:r>
      <w:r>
        <w:rPr>
          <w:rFonts w:hint="eastAsia" w:ascii="Times New Roman" w:hAnsi="Times New Roman" w:cs="Times New Roman"/>
          <w:sz w:val="24"/>
          <w:szCs w:val="24"/>
          <w:lang w:val="en-US" w:eastAsia="zh-CN"/>
        </w:rPr>
        <w:t>方面提出要求。</w:t>
      </w:r>
    </w:p>
    <w:p w14:paraId="3153F517">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语料质量要求。</w:t>
      </w:r>
      <w:r>
        <w:rPr>
          <w:rFonts w:hint="eastAsia" w:ascii="Times New Roman" w:hAnsi="Times New Roman" w:cs="Times New Roman"/>
          <w:kern w:val="2"/>
          <w:sz w:val="24"/>
          <w:szCs w:val="24"/>
          <w:lang w:val="en-US" w:eastAsia="zh-CN" w:bidi="ar-SA"/>
        </w:rPr>
        <w:t>对</w:t>
      </w:r>
      <w:r>
        <w:rPr>
          <w:rFonts w:hint="default" w:ascii="Times New Roman" w:hAnsi="Times New Roman" w:eastAsia="宋体" w:cs="Times New Roman"/>
          <w:kern w:val="2"/>
          <w:sz w:val="24"/>
          <w:szCs w:val="24"/>
          <w:lang w:val="en-US" w:eastAsia="zh-CN" w:bidi="ar-SA"/>
        </w:rPr>
        <w:t>规范性、完整性、准确性、一致性、及时性、可访问性、稠密性、多样性、均衡性、相关性、原创性、可溯性12类</w:t>
      </w:r>
      <w:r>
        <w:rPr>
          <w:rFonts w:hint="eastAsia" w:ascii="Times New Roman" w:hAnsi="Times New Roman" w:cs="Times New Roman"/>
          <w:kern w:val="2"/>
          <w:sz w:val="24"/>
          <w:szCs w:val="24"/>
          <w:lang w:val="en-US" w:eastAsia="zh-CN" w:bidi="ar-SA"/>
        </w:rPr>
        <w:t>的</w:t>
      </w:r>
      <w:r>
        <w:rPr>
          <w:rFonts w:hint="default" w:ascii="Times New Roman" w:hAnsi="Times New Roman" w:eastAsia="宋体" w:cs="Times New Roman"/>
          <w:kern w:val="2"/>
          <w:sz w:val="24"/>
          <w:szCs w:val="24"/>
          <w:lang w:val="en-US" w:eastAsia="zh-CN" w:bidi="ar-SA"/>
        </w:rPr>
        <w:t>质量评价指标</w:t>
      </w:r>
      <w:r>
        <w:rPr>
          <w:rFonts w:hint="eastAsia" w:ascii="Times New Roman" w:hAnsi="Times New Roman" w:cs="Times New Roman"/>
          <w:kern w:val="2"/>
          <w:sz w:val="24"/>
          <w:szCs w:val="24"/>
          <w:lang w:val="en-US" w:eastAsia="zh-CN" w:bidi="ar-SA"/>
        </w:rPr>
        <w:t>提出要求</w:t>
      </w:r>
      <w:r>
        <w:rPr>
          <w:rFonts w:hint="default" w:ascii="Times New Roman" w:hAnsi="Times New Roman" w:eastAsia="宋体" w:cs="Times New Roman"/>
          <w:kern w:val="2"/>
          <w:sz w:val="24"/>
          <w:szCs w:val="24"/>
          <w:lang w:val="en-US" w:eastAsia="zh-CN" w:bidi="ar-SA"/>
        </w:rPr>
        <w:t>。</w:t>
      </w:r>
    </w:p>
    <w:p w14:paraId="474B6516">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加工保障。对技术、人员、过程、安全四个语料加工支撑保障维度提出要求。</w:t>
      </w:r>
    </w:p>
    <w:p w14:paraId="01308F6C">
      <w:pPr>
        <w:spacing w:line="360" w:lineRule="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三</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确定标准主要内容的论据</w:t>
      </w:r>
    </w:p>
    <w:p w14:paraId="6E555C70">
      <w:pPr>
        <w:spacing w:line="360" w:lineRule="auto"/>
        <w:ind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本标准中各项技术指标的提出，主要基于以下两方面依据：一是</w:t>
      </w:r>
      <w:r>
        <w:rPr>
          <w:rFonts w:hint="default" w:ascii="Times New Roman" w:hAnsi="Times New Roman" w:eastAsia="宋体" w:cs="Times New Roman"/>
          <w:sz w:val="24"/>
          <w:szCs w:val="24"/>
          <w:lang w:val="en-US" w:eastAsia="zh-CN"/>
        </w:rPr>
        <w:t>目前</w:t>
      </w:r>
      <w:r>
        <w:rPr>
          <w:rFonts w:hint="default" w:ascii="Times New Roman" w:hAnsi="Times New Roman" w:eastAsia="宋体" w:cs="Times New Roman"/>
          <w:sz w:val="24"/>
          <w:szCs w:val="24"/>
        </w:rPr>
        <w:t>出版行业内容资源数字化、人工智能语料采编加工领域所积累的实践经验和流程规范工作的系统总结；二是参考现行国家及行业相关标准、规范</w:t>
      </w:r>
      <w:r>
        <w:rPr>
          <w:rFonts w:hint="default" w:ascii="Times New Roman" w:hAnsi="Times New Roman" w:eastAsia="宋体" w:cs="Times New Roman"/>
          <w:sz w:val="24"/>
          <w:szCs w:val="24"/>
          <w:lang w:val="en-US" w:eastAsia="zh-CN"/>
        </w:rPr>
        <w:t>与</w:t>
      </w:r>
      <w:r>
        <w:rPr>
          <w:rFonts w:hint="default" w:ascii="Times New Roman" w:hAnsi="Times New Roman" w:eastAsia="宋体" w:cs="Times New Roman"/>
          <w:sz w:val="24"/>
          <w:szCs w:val="24"/>
        </w:rPr>
        <w:t>文献。以上两方面结合，共同形成了科学</w:t>
      </w:r>
      <w:r>
        <w:rPr>
          <w:rFonts w:hint="default" w:ascii="Times New Roman" w:hAnsi="Times New Roman" w:eastAsia="宋体" w:cs="Times New Roman"/>
          <w:sz w:val="24"/>
          <w:szCs w:val="24"/>
          <w:lang w:val="en-US" w:eastAsia="zh-CN"/>
        </w:rPr>
        <w:t>实际</w:t>
      </w:r>
      <w:r>
        <w:rPr>
          <w:rFonts w:hint="default" w:ascii="Times New Roman" w:hAnsi="Times New Roman" w:eastAsia="宋体" w:cs="Times New Roman"/>
          <w:sz w:val="24"/>
          <w:szCs w:val="24"/>
        </w:rPr>
        <w:t>、贴合行业的技术指标内容</w:t>
      </w:r>
      <w:r>
        <w:rPr>
          <w:rFonts w:hint="default" w:ascii="Times New Roman" w:hAnsi="Times New Roman" w:eastAsia="宋体" w:cs="Times New Roman"/>
          <w:sz w:val="24"/>
          <w:szCs w:val="24"/>
          <w:lang w:eastAsia="zh-CN"/>
        </w:rPr>
        <w:t>。</w:t>
      </w:r>
    </w:p>
    <w:p w14:paraId="0BA31427">
      <w:pPr>
        <w:keepNext w:val="0"/>
        <w:keepLines w:val="0"/>
        <w:pageBreakBefore w:val="0"/>
        <w:widowControl w:val="0"/>
        <w:kinsoku/>
        <w:wordWrap/>
        <w:overflowPunct/>
        <w:topLinePunct w:val="0"/>
        <w:autoSpaceDE/>
        <w:autoSpaceDN/>
        <w:bidi w:val="0"/>
        <w:adjustRightInd/>
        <w:snapToGrid/>
        <w:spacing w:before="157" w:beforeLines="50" w:afterLines="0" w:line="400" w:lineRule="exact"/>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kern w:val="2"/>
          <w:sz w:val="24"/>
          <w:szCs w:val="24"/>
          <w:lang w:val="en-US" w:eastAsia="zh-CN" w:bidi="ar-SA"/>
        </w:rPr>
        <w:t>三、主要试验或验证的分析、综述报告，技术经济论证，预期经济效果</w:t>
      </w:r>
    </w:p>
    <w:p w14:paraId="3F325E79">
      <w:pPr>
        <w:widowControl w:val="0"/>
        <w:numPr>
          <w:ilvl w:val="0"/>
          <w:numId w:val="0"/>
        </w:numPr>
        <w:autoSpaceDE/>
        <w:autoSpaceDN/>
        <w:adjustRightInd w:val="0"/>
        <w:snapToGrid w:val="0"/>
        <w:spacing w:before="156" w:beforeLines="50"/>
        <w:textAlignment w:val="auto"/>
        <w:rPr>
          <w:rFonts w:hint="default" w:ascii="Times New Roman" w:hAnsi="Times New Roman" w:eastAsia="宋体" w:cs="Times New Roman"/>
          <w:strike/>
          <w:color w:val="000000"/>
          <w:kern w:val="2"/>
          <w:sz w:val="24"/>
          <w:szCs w:val="24"/>
          <w:lang w:val="en-US" w:eastAsia="zh-CN" w:bidi="ar-SA"/>
        </w:rPr>
      </w:pPr>
      <w:r>
        <w:rPr>
          <w:rFonts w:hint="default" w:ascii="Times New Roman" w:hAnsi="Times New Roman" w:eastAsia="宋体" w:cs="Times New Roman"/>
          <w:sz w:val="24"/>
          <w:szCs w:val="24"/>
        </w:rPr>
        <w:t>（一）主要</w:t>
      </w:r>
      <w:r>
        <w:rPr>
          <w:rFonts w:hint="default" w:ascii="Times New Roman" w:hAnsi="Times New Roman" w:eastAsia="宋体" w:cs="Times New Roman"/>
          <w:b w:val="0"/>
          <w:bCs w:val="0"/>
          <w:kern w:val="2"/>
          <w:sz w:val="24"/>
          <w:szCs w:val="24"/>
          <w:lang w:val="en-US" w:eastAsia="zh-CN" w:bidi="ar-SA"/>
        </w:rPr>
        <w:t>试验或验证</w:t>
      </w:r>
      <w:r>
        <w:rPr>
          <w:rFonts w:hint="default" w:ascii="Times New Roman" w:hAnsi="Times New Roman" w:eastAsia="宋体" w:cs="Times New Roman"/>
          <w:sz w:val="24"/>
          <w:szCs w:val="24"/>
        </w:rPr>
        <w:t>的分析、综述报告</w:t>
      </w:r>
    </w:p>
    <w:p w14:paraId="1C60416A">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无。</w:t>
      </w:r>
    </w:p>
    <w:p w14:paraId="0345BF0B">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（二）技术经济论证</w:t>
      </w:r>
    </w:p>
    <w:p w14:paraId="229CDBC4">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无。</w:t>
      </w:r>
    </w:p>
    <w:p w14:paraId="7EC5DF19">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line="400" w:lineRule="exact"/>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预期经济效果</w:t>
      </w:r>
    </w:p>
    <w:p w14:paraId="28B305DF">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ind w:lef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出版业人工智能语料加工以行业市场化发展与价值转化为导向，同步兼顾行业规范与产业发展价值，具体表现为：</w:t>
      </w:r>
    </w:p>
    <w:p w14:paraId="2D5DEC5B">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ind w:lef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1.建立行业统一的语料采集、预处理、加工、交付与质量管控标准，有效节约人力、时间等成本，提升语料制作与管理整体效率。</w:t>
      </w:r>
    </w:p>
    <w:p w14:paraId="410BD226">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400" w:lineRule="exact"/>
        <w:ind w:lef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2.释放存量内容，实现传统出版内容资产数字化，支撑大模型训练、知识服务、等市场化应用，拓宽出版行业盈利渠道与产业发展空间。</w:t>
      </w:r>
    </w:p>
    <w:p w14:paraId="48854DD6">
      <w:pPr>
        <w:keepNext w:val="0"/>
        <w:keepLines w:val="0"/>
        <w:pageBreakBefore w:val="0"/>
        <w:widowControl w:val="0"/>
        <w:kinsoku/>
        <w:wordWrap/>
        <w:overflowPunct/>
        <w:topLinePunct w:val="0"/>
        <w:autoSpaceDE/>
        <w:autoSpaceDN/>
        <w:bidi w:val="0"/>
        <w:adjustRightInd/>
        <w:snapToGrid/>
        <w:spacing w:before="157" w:beforeLines="50" w:afterLines="0" w:line="360" w:lineRule="auto"/>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四、采用国际标准和国外先进标准的程度，以及与国外同类标准水平的对比情况，或与测试的国外样品、样机的有关数据对比情况</w:t>
      </w:r>
    </w:p>
    <w:p w14:paraId="3B6ECBB0">
      <w:pPr>
        <w:keepNext w:val="0"/>
        <w:keepLines w:val="0"/>
        <w:pageBreakBefore w:val="0"/>
        <w:widowControl w:val="0"/>
        <w:kinsoku/>
        <w:wordWrap/>
        <w:overflowPunct/>
        <w:topLinePunct w:val="0"/>
        <w:autoSpaceDE/>
        <w:autoSpaceDN/>
        <w:bidi w:val="0"/>
        <w:adjustRightInd/>
        <w:snapToGrid/>
        <w:spacing w:before="157" w:beforeLines="5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（一）采用国际标准和国外先进标准的程度</w:t>
      </w:r>
    </w:p>
    <w:p w14:paraId="499CD8DE">
      <w:pPr>
        <w:keepNext w:val="0"/>
        <w:keepLines w:val="0"/>
        <w:pageBreakBefore w:val="0"/>
        <w:widowControl w:val="0"/>
        <w:kinsoku/>
        <w:wordWrap/>
        <w:overflowPunct/>
        <w:topLinePunct w:val="0"/>
        <w:autoSpaceDE/>
        <w:autoSpaceDN/>
        <w:bidi w:val="0"/>
        <w:adjustRightInd/>
        <w:snapToGrid/>
        <w:spacing w:before="157" w:beforeLines="50" w:afterLines="0" w:line="4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未采用</w:t>
      </w:r>
      <w:r>
        <w:rPr>
          <w:rFonts w:hint="default" w:ascii="Times New Roman" w:hAnsi="Times New Roman" w:eastAsia="宋体" w:cs="Times New Roman"/>
          <w:sz w:val="24"/>
          <w:szCs w:val="24"/>
        </w:rPr>
        <w:t>同类国</w:t>
      </w:r>
      <w:r>
        <w:rPr>
          <w:rFonts w:hint="default" w:ascii="Times New Roman" w:hAnsi="Times New Roman" w:eastAsia="宋体" w:cs="Times New Roman"/>
          <w:sz w:val="24"/>
          <w:szCs w:val="24"/>
          <w:lang w:val="en-US" w:eastAsia="zh-CN"/>
        </w:rPr>
        <w:t>际</w:t>
      </w:r>
      <w:r>
        <w:rPr>
          <w:rFonts w:hint="default" w:ascii="Times New Roman" w:hAnsi="Times New Roman" w:eastAsia="宋体" w:cs="Times New Roman"/>
          <w:sz w:val="24"/>
          <w:szCs w:val="24"/>
        </w:rPr>
        <w:t>标准</w:t>
      </w:r>
      <w:r>
        <w:rPr>
          <w:rFonts w:hint="default" w:ascii="Times New Roman" w:hAnsi="Times New Roman" w:eastAsia="宋体" w:cs="Times New Roman"/>
          <w:sz w:val="24"/>
          <w:szCs w:val="24"/>
          <w:lang w:val="en-US" w:eastAsia="zh-CN"/>
        </w:rPr>
        <w:t>和国外先进标准</w:t>
      </w:r>
      <w:r>
        <w:rPr>
          <w:rFonts w:hint="default" w:ascii="Times New Roman" w:hAnsi="Times New Roman" w:eastAsia="宋体" w:cs="Times New Roman"/>
          <w:sz w:val="24"/>
          <w:szCs w:val="24"/>
        </w:rPr>
        <w:t>。</w:t>
      </w:r>
    </w:p>
    <w:p w14:paraId="38B704E9">
      <w:pPr>
        <w:keepNext w:val="0"/>
        <w:keepLines w:val="0"/>
        <w:pageBreakBefore w:val="0"/>
        <w:widowControl w:val="0"/>
        <w:kinsoku/>
        <w:wordWrap/>
        <w:overflowPunct/>
        <w:topLinePunct w:val="0"/>
        <w:autoSpaceDE/>
        <w:autoSpaceDN/>
        <w:bidi w:val="0"/>
        <w:adjustRightInd/>
        <w:snapToGrid/>
        <w:spacing w:before="157" w:beforeLines="50" w:afterLines="0" w:line="400" w:lineRule="exact"/>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二</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与国外同类标准水平的对比情况</w:t>
      </w:r>
    </w:p>
    <w:p w14:paraId="5F6B3D85">
      <w:pPr>
        <w:keepNext w:val="0"/>
        <w:keepLines w:val="0"/>
        <w:pageBreakBefore w:val="0"/>
        <w:widowControl w:val="0"/>
        <w:kinsoku/>
        <w:wordWrap/>
        <w:overflowPunct/>
        <w:topLinePunct w:val="0"/>
        <w:autoSpaceDE/>
        <w:autoSpaceDN/>
        <w:bidi w:val="0"/>
        <w:adjustRightInd/>
        <w:snapToGrid/>
        <w:spacing w:before="157" w:beforeLines="50" w:afterLines="0" w:line="4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目前，国际上尚无专门针对出版业人工智能语料加工的完整技术标准。现有相关文献多体现为通用语言资源管理规范或出版业</w:t>
      </w:r>
      <w:r>
        <w:rPr>
          <w:rFonts w:hint="default" w:ascii="Times New Roman" w:hAnsi="Times New Roman" w:cs="Times New Roman"/>
          <w:sz w:val="24"/>
          <w:szCs w:val="24"/>
          <w:lang w:val="en-US" w:eastAsia="zh-CN"/>
        </w:rPr>
        <w:t>人工智能</w:t>
      </w:r>
      <w:r>
        <w:rPr>
          <w:rFonts w:hint="default" w:ascii="Times New Roman" w:hAnsi="Times New Roman" w:eastAsia="宋体" w:cs="Times New Roman"/>
          <w:sz w:val="24"/>
          <w:szCs w:val="24"/>
        </w:rPr>
        <w:t>应用伦理指南，且主要服务于基础语言学研究或学术出版合规，针对出版业全流程、高</w:t>
      </w:r>
      <w:r>
        <w:rPr>
          <w:rFonts w:hint="default" w:ascii="Times New Roman" w:hAnsi="Times New Roman" w:cs="Times New Roman"/>
          <w:sz w:val="24"/>
          <w:szCs w:val="24"/>
          <w:lang w:val="en-US" w:eastAsia="zh-CN"/>
        </w:rPr>
        <w:t>价值人工智能</w:t>
      </w:r>
      <w:r>
        <w:rPr>
          <w:rFonts w:hint="default" w:ascii="Times New Roman" w:hAnsi="Times New Roman" w:eastAsia="宋体" w:cs="Times New Roman"/>
          <w:sz w:val="24"/>
          <w:szCs w:val="24"/>
        </w:rPr>
        <w:t>语料加工的技术标准仍属空白。典型案例如下：</w:t>
      </w:r>
    </w:p>
    <w:p w14:paraId="04F0424B">
      <w:pPr>
        <w:keepNext w:val="0"/>
        <w:keepLines w:val="0"/>
        <w:pageBreakBefore w:val="0"/>
        <w:widowControl w:val="0"/>
        <w:kinsoku/>
        <w:wordWrap/>
        <w:overflowPunct/>
        <w:topLinePunct w:val="0"/>
        <w:autoSpaceDE/>
        <w:autoSpaceDN/>
        <w:bidi w:val="0"/>
        <w:adjustRightInd/>
        <w:snapToGrid/>
        <w:spacing w:before="157" w:beforeLines="50" w:afterLines="0" w:line="4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·国际标准化组织（ISO）：发布ISO 24635-1:2025《语言资源管理—语料标注项目管理》及ISO 24614系列等标准，主要聚焦通用语料的语言学标注框架与管理，未涉及出版领域特有的版权合规与内容安全要求；</w:t>
      </w:r>
    </w:p>
    <w:p w14:paraId="6FF10262">
      <w:pPr>
        <w:keepNext w:val="0"/>
        <w:keepLines w:val="0"/>
        <w:pageBreakBefore w:val="0"/>
        <w:widowControl w:val="0"/>
        <w:kinsoku/>
        <w:wordWrap/>
        <w:overflowPunct/>
        <w:topLinePunct w:val="0"/>
        <w:autoSpaceDE/>
        <w:autoSpaceDN/>
        <w:bidi w:val="0"/>
        <w:adjustRightInd/>
        <w:snapToGrid/>
        <w:spacing w:before="157" w:beforeLines="50" w:afterLines="0" w:line="4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·欧洲科研基础设施（CLARIN等）：基于FAIR原则提出语言数据的发现、互操作与长期保存规范，侧重于语料库资产的共享与基础设施接入，而非面向AI大模型训练的精细化加工工艺；</w:t>
      </w:r>
    </w:p>
    <w:p w14:paraId="445DCD7E">
      <w:pPr>
        <w:keepNext w:val="0"/>
        <w:keepLines w:val="0"/>
        <w:pageBreakBefore w:val="0"/>
        <w:widowControl w:val="0"/>
        <w:kinsoku/>
        <w:wordWrap/>
        <w:overflowPunct/>
        <w:topLinePunct w:val="0"/>
        <w:autoSpaceDE/>
        <w:autoSpaceDN/>
        <w:bidi w:val="0"/>
        <w:adjustRightInd/>
        <w:snapToGrid/>
        <w:spacing w:before="157" w:beforeLines="50" w:afterLines="0" w:line="4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此外，欧美等国在语言数据生态方面配套提供了丰富的实践支持资源与倡议。例如欧洲语言资源协会（ELRA）提供多语种语料库的评估指南，美国国家信息标准组织（NISO）在研讨中提出AI时代出版元数据需机器可读等建议，但这些资源多处于指导或倡议阶段，缺乏系统性的技术约束力。</w:t>
      </w:r>
    </w:p>
    <w:p w14:paraId="64FD71B4">
      <w:pPr>
        <w:keepNext w:val="0"/>
        <w:keepLines w:val="0"/>
        <w:pageBreakBefore w:val="0"/>
        <w:widowControl w:val="0"/>
        <w:kinsoku/>
        <w:wordWrap/>
        <w:overflowPunct/>
        <w:topLinePunct w:val="0"/>
        <w:autoSpaceDE/>
        <w:autoSpaceDN/>
        <w:bidi w:val="0"/>
        <w:adjustRightInd/>
        <w:snapToGrid/>
        <w:spacing w:before="157" w:beforeLines="50" w:afterLines="0" w:line="4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相较之下，本标准系统规定了面向出版业人工智能训练的语料加工要求，涵盖总体原则、语料数据构建、语料质量要求、加工保障等全流程要求。本标准内容完整、技术严谨，形成了涵盖语料加工全生命周期的技术规范。</w:t>
      </w:r>
    </w:p>
    <w:p w14:paraId="22838244">
      <w:pPr>
        <w:keepNext w:val="0"/>
        <w:keepLines w:val="0"/>
        <w:pageBreakBefore w:val="0"/>
        <w:widowControl w:val="0"/>
        <w:numPr>
          <w:ilvl w:val="0"/>
          <w:numId w:val="2"/>
        </w:numPr>
        <w:kinsoku/>
        <w:wordWrap/>
        <w:overflowPunct/>
        <w:topLinePunct w:val="0"/>
        <w:autoSpaceDE/>
        <w:autoSpaceDN/>
        <w:bidi w:val="0"/>
        <w:adjustRightInd w:val="0"/>
        <w:snapToGrid w:val="0"/>
        <w:spacing w:before="156" w:beforeLines="50" w:line="360"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与有关的现行相关法律、法规，和强制性国家标准的关系</w:t>
      </w:r>
    </w:p>
    <w:p w14:paraId="7258D98A">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本标准与《中华人民共和国数据安全法》《中华人民共和国个人信息保护法》《中华人民共和国著作权法》《生成式人工智能服务管理暂行办法》</w:t>
      </w:r>
      <w:r>
        <w:rPr>
          <w:rFonts w:hint="default" w:ascii="Times New Roman" w:hAnsi="Times New Roman" w:cs="Times New Roman"/>
          <w:kern w:val="0"/>
          <w:sz w:val="24"/>
        </w:rPr>
        <w:t>《“数据要素×”三年行动计划（2024—2026年）》</w:t>
      </w:r>
      <w:r>
        <w:rPr>
          <w:rFonts w:hint="default" w:ascii="Times New Roman" w:hAnsi="Times New Roman" w:eastAsia="宋体" w:cs="Times New Roman"/>
          <w:sz w:val="24"/>
          <w:szCs w:val="24"/>
          <w:lang w:eastAsia="zh-CN"/>
        </w:rPr>
        <w:t>《出版管理条例》等</w:t>
      </w:r>
      <w:r>
        <w:rPr>
          <w:rFonts w:hint="default" w:ascii="Times New Roman" w:hAnsi="Times New Roman" w:cs="Times New Roman"/>
          <w:kern w:val="0"/>
          <w:sz w:val="24"/>
        </w:rPr>
        <w:t>法律、法规、规章</w:t>
      </w:r>
      <w:r>
        <w:rPr>
          <w:rFonts w:hint="default" w:ascii="Times New Roman" w:hAnsi="Times New Roman" w:eastAsia="宋体" w:cs="Times New Roman"/>
          <w:sz w:val="24"/>
          <w:szCs w:val="24"/>
          <w:lang w:val="en-US" w:eastAsia="zh-CN"/>
        </w:rPr>
        <w:t>相符</w:t>
      </w:r>
      <w:r>
        <w:rPr>
          <w:rFonts w:hint="default" w:ascii="Times New Roman" w:hAnsi="Times New Roman" w:eastAsia="宋体" w:cs="Times New Roman"/>
          <w:sz w:val="24"/>
          <w:szCs w:val="24"/>
          <w:lang w:eastAsia="zh-CN"/>
        </w:rPr>
        <w:t>。</w:t>
      </w:r>
    </w:p>
    <w:p w14:paraId="36ACE08E">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ind w:firstLine="480" w:firstLineChars="20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lang w:eastAsia="zh-CN"/>
        </w:rPr>
        <w:t>标准草案编制过程中，依据GB/T 1.1—</w:t>
      </w:r>
      <w:r>
        <w:rPr>
          <w:rFonts w:hint="default" w:ascii="Times New Roman" w:hAnsi="Times New Roman" w:eastAsia="宋体" w:cs="Times New Roman"/>
          <w:color w:val="000000"/>
          <w:kern w:val="2"/>
          <w:sz w:val="24"/>
          <w:szCs w:val="24"/>
          <w:lang w:val="en-US" w:eastAsia="zh-CN" w:bidi="ar-SA"/>
        </w:rPr>
        <w:t>2020</w:t>
      </w:r>
      <w:r>
        <w:rPr>
          <w:rFonts w:hint="default" w:ascii="Times New Roman" w:hAnsi="Times New Roman" w:eastAsia="宋体" w:cs="Times New Roman"/>
          <w:sz w:val="24"/>
          <w:szCs w:val="24"/>
          <w:lang w:eastAsia="zh-CN"/>
        </w:rPr>
        <w:t>《标准化工作导则 第1部分：标准化文件的结构和起草规则》进行编写，同时还规范性引用《GB/T 35274—</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数据安全技术 大数据服务安全能力要求》、《GB/T 38377—2019 新闻出版 知识服务 知识资源建设与服务基础术语》、《GB/T 38548.2—</w:t>
      </w:r>
      <w:r>
        <w:rPr>
          <w:rFonts w:hint="default" w:ascii="Times New Roman" w:hAnsi="Times New Roman" w:eastAsia="宋体" w:cs="Times New Roman"/>
          <w:sz w:val="24"/>
          <w:szCs w:val="24"/>
          <w:lang w:val="en-US" w:eastAsia="zh-CN"/>
        </w:rPr>
        <w:t>2020</w:t>
      </w:r>
      <w:r>
        <w:rPr>
          <w:rFonts w:hint="default" w:ascii="Times New Roman" w:hAnsi="Times New Roman" w:eastAsia="宋体" w:cs="Times New Roman"/>
          <w:sz w:val="24"/>
          <w:szCs w:val="24"/>
          <w:lang w:eastAsia="zh-CN"/>
        </w:rPr>
        <w:t xml:space="preserve"> 内容资源数字化加工 第2部分：采集方法》、《GB/T 38548.3—</w:t>
      </w:r>
      <w:r>
        <w:rPr>
          <w:rFonts w:hint="default" w:ascii="Times New Roman" w:hAnsi="Times New Roman" w:eastAsia="宋体" w:cs="Times New Roman"/>
          <w:sz w:val="24"/>
          <w:szCs w:val="24"/>
          <w:lang w:val="en-US" w:eastAsia="zh-CN"/>
        </w:rPr>
        <w:t>2020</w:t>
      </w:r>
      <w:r>
        <w:rPr>
          <w:rFonts w:hint="default" w:ascii="Times New Roman" w:hAnsi="Times New Roman" w:eastAsia="宋体" w:cs="Times New Roman"/>
          <w:sz w:val="24"/>
          <w:szCs w:val="24"/>
          <w:lang w:eastAsia="zh-CN"/>
        </w:rPr>
        <w:t xml:space="preserve"> 内容资源数字化加工 第3部分：加工规格》、《GB/T 40035—2021</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双语平行语料加工服务基本要求》、《GB/T 45257—2025 知识服务 新闻出版知识元提取与标引》、《GB/T 45652—</w:t>
      </w:r>
      <w:r>
        <w:rPr>
          <w:rFonts w:hint="default" w:ascii="Times New Roman" w:hAnsi="Times New Roman" w:eastAsia="宋体" w:cs="Times New Roman"/>
          <w:sz w:val="24"/>
          <w:szCs w:val="24"/>
          <w:lang w:val="en-US" w:eastAsia="zh-CN"/>
        </w:rPr>
        <w:t>2025</w:t>
      </w:r>
      <w:r>
        <w:rPr>
          <w:rFonts w:hint="default" w:ascii="Times New Roman" w:hAnsi="Times New Roman" w:eastAsia="宋体" w:cs="Times New Roman"/>
          <w:sz w:val="24"/>
          <w:szCs w:val="24"/>
          <w:lang w:eastAsia="zh-CN"/>
        </w:rPr>
        <w:t xml:space="preserve"> 网络安全技术 生成式人工智能</w:t>
      </w:r>
      <w:r>
        <w:rPr>
          <w:rFonts w:hint="default" w:ascii="Times New Roman" w:hAnsi="Times New Roman" w:eastAsia="宋体" w:cs="Times New Roman"/>
          <w:sz w:val="24"/>
          <w:szCs w:val="24"/>
          <w:lang w:val="en-US" w:eastAsia="zh-CN"/>
        </w:rPr>
        <w:t>预</w:t>
      </w:r>
      <w:r>
        <w:rPr>
          <w:rFonts w:hint="default" w:ascii="Times New Roman" w:hAnsi="Times New Roman" w:eastAsia="宋体" w:cs="Times New Roman"/>
          <w:sz w:val="24"/>
          <w:szCs w:val="24"/>
          <w:lang w:eastAsia="zh-CN"/>
        </w:rPr>
        <w:t>训练和优化训练数据安全规范》、《GB/T 45674—</w:t>
      </w:r>
      <w:r>
        <w:rPr>
          <w:rFonts w:hint="default" w:ascii="Times New Roman" w:hAnsi="Times New Roman" w:eastAsia="宋体" w:cs="Times New Roman"/>
          <w:sz w:val="24"/>
          <w:szCs w:val="24"/>
          <w:lang w:val="en-US" w:eastAsia="zh-CN"/>
        </w:rPr>
        <w:t>2025</w:t>
      </w:r>
      <w:r>
        <w:rPr>
          <w:rFonts w:hint="default" w:ascii="Times New Roman" w:hAnsi="Times New Roman" w:eastAsia="宋体" w:cs="Times New Roman"/>
          <w:sz w:val="24"/>
          <w:szCs w:val="24"/>
          <w:lang w:eastAsia="zh-CN"/>
        </w:rPr>
        <w:t xml:space="preserve"> 网络安全技术 生成式人工智能数据标注安全规范》等标准。</w:t>
      </w:r>
    </w:p>
    <w:p w14:paraId="5A8D70B2">
      <w:pPr>
        <w:keepNext w:val="0"/>
        <w:keepLines w:val="0"/>
        <w:pageBreakBefore w:val="0"/>
        <w:widowControl w:val="0"/>
        <w:kinsoku/>
        <w:wordWrap/>
        <w:overflowPunct/>
        <w:topLinePunct w:val="0"/>
        <w:autoSpaceDE/>
        <w:autoSpaceDN/>
        <w:bidi w:val="0"/>
        <w:adjustRightInd w:val="0"/>
        <w:snapToGrid w:val="0"/>
        <w:spacing w:before="156" w:beforeLines="50" w:line="360" w:lineRule="auto"/>
        <w:textAlignment w:val="auto"/>
        <w:rPr>
          <w:rFonts w:hint="default" w:ascii="Times New Roman" w:hAnsi="Times New Roman" w:eastAsia="宋体" w:cs="Times New Roman"/>
          <w:b/>
          <w:bCs w:val="0"/>
          <w:kern w:val="2"/>
          <w:sz w:val="24"/>
          <w:szCs w:val="24"/>
          <w:lang w:val="en-US" w:eastAsia="zh-CN" w:bidi="ar-SA"/>
        </w:rPr>
      </w:pPr>
      <w:r>
        <w:rPr>
          <w:rFonts w:hint="default" w:ascii="Times New Roman" w:hAnsi="Times New Roman" w:eastAsia="宋体" w:cs="Times New Roman"/>
          <w:b/>
          <w:bCs w:val="0"/>
          <w:kern w:val="2"/>
          <w:sz w:val="24"/>
          <w:szCs w:val="24"/>
          <w:lang w:val="en-US" w:eastAsia="zh-CN" w:bidi="ar-SA"/>
        </w:rPr>
        <w:t>六、重大分歧意见的处理经过和依据</w:t>
      </w:r>
    </w:p>
    <w:p w14:paraId="616C40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标准起草过程中，未出现重大分歧意见。</w:t>
      </w:r>
    </w:p>
    <w:p w14:paraId="49367F4E">
      <w:pPr>
        <w:adjustRightInd w:val="0"/>
        <w:snapToGrid w:val="0"/>
        <w:spacing w:before="156" w:beforeLines="50" w:line="360" w:lineRule="auto"/>
        <w:rPr>
          <w:rFonts w:hint="default" w:ascii="Times New Roman" w:hAnsi="Times New Roman" w:eastAsia="宋体" w:cs="Times New Roman"/>
          <w:b/>
          <w:bCs w:val="0"/>
          <w:kern w:val="2"/>
          <w:sz w:val="24"/>
          <w:szCs w:val="24"/>
          <w:lang w:val="en-US" w:eastAsia="zh-CN" w:bidi="ar-SA"/>
        </w:rPr>
      </w:pPr>
      <w:r>
        <w:rPr>
          <w:rFonts w:hint="default" w:ascii="Times New Roman" w:hAnsi="Times New Roman" w:eastAsia="宋体" w:cs="Times New Roman"/>
          <w:b/>
          <w:bCs/>
          <w:sz w:val="24"/>
          <w:szCs w:val="24"/>
          <w:lang w:val="en-US" w:eastAsia="zh-CN"/>
        </w:rPr>
        <w:t>七</w:t>
      </w:r>
      <w:r>
        <w:rPr>
          <w:rFonts w:hint="default" w:ascii="Times New Roman" w:hAnsi="Times New Roman" w:eastAsia="宋体" w:cs="Times New Roman"/>
          <w:b/>
          <w:bCs/>
          <w:sz w:val="24"/>
          <w:szCs w:val="24"/>
          <w:lang w:eastAsia="zh-CN"/>
        </w:rPr>
        <w:t>、标准性质的建议</w:t>
      </w:r>
    </w:p>
    <w:p w14:paraId="72C7855D">
      <w:pPr>
        <w:adjustRightInd w:val="0"/>
        <w:snapToGrid w:val="0"/>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本标准建议作为推荐性行业标准使用。</w:t>
      </w:r>
    </w:p>
    <w:p w14:paraId="262F34D1">
      <w:pPr>
        <w:adjustRightInd w:val="0"/>
        <w:snapToGrid w:val="0"/>
        <w:spacing w:before="156" w:beforeLines="50" w:line="360" w:lineRule="auto"/>
        <w:rPr>
          <w:rFonts w:hint="default" w:ascii="Times New Roman" w:hAnsi="Times New Roman" w:eastAsia="宋体" w:cs="Times New Roman"/>
          <w:b/>
          <w:bCs w:val="0"/>
          <w:kern w:val="2"/>
          <w:sz w:val="24"/>
          <w:szCs w:val="24"/>
          <w:lang w:val="en-US" w:eastAsia="zh-CN" w:bidi="ar-SA"/>
        </w:rPr>
      </w:pPr>
      <w:r>
        <w:rPr>
          <w:rFonts w:hint="default" w:ascii="Times New Roman" w:hAnsi="Times New Roman" w:eastAsia="宋体" w:cs="Times New Roman"/>
          <w:b/>
          <w:bCs w:val="0"/>
          <w:kern w:val="2"/>
          <w:sz w:val="24"/>
          <w:szCs w:val="24"/>
          <w:lang w:val="en-US" w:eastAsia="zh-CN" w:bidi="ar-SA"/>
        </w:rPr>
        <w:t>八、贯彻标准的要求和措施建议</w:t>
      </w:r>
    </w:p>
    <w:p w14:paraId="4F1C7446">
      <w:pPr>
        <w:pStyle w:val="14"/>
        <w:tabs>
          <w:tab w:val="center" w:pos="4201"/>
          <w:tab w:val="right" w:leader="dot" w:pos="9298"/>
        </w:tabs>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本标准的贯彻、实施建议采用以下方式：</w:t>
      </w:r>
    </w:p>
    <w:p w14:paraId="3E8CB8D2">
      <w:pPr>
        <w:pStyle w:val="14"/>
        <w:tabs>
          <w:tab w:val="center" w:pos="4201"/>
          <w:tab w:val="right" w:leader="dot" w:pos="9298"/>
        </w:tabs>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1、建立跨部门协作机制明确各方权责分工；</w:t>
      </w:r>
    </w:p>
    <w:p w14:paraId="690E7E49">
      <w:pPr>
        <w:pStyle w:val="14"/>
        <w:tabs>
          <w:tab w:val="center" w:pos="4201"/>
          <w:tab w:val="right" w:leader="dot" w:pos="9298"/>
        </w:tabs>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2、推动基础数据标准技术规格应用，针对企业开展专项培训；</w:t>
      </w:r>
    </w:p>
    <w:p w14:paraId="11C408E2">
      <w:pPr>
        <w:pStyle w:val="14"/>
        <w:tabs>
          <w:tab w:val="center" w:pos="4201"/>
          <w:tab w:val="right" w:leader="dot" w:pos="9298"/>
        </w:tabs>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3、推动标准化工具开发，如统一的标注平台与数据安全管理模块；</w:t>
      </w:r>
    </w:p>
    <w:p w14:paraId="45EE16D9">
      <w:pPr>
        <w:pStyle w:val="14"/>
        <w:tabs>
          <w:tab w:val="center" w:pos="4201"/>
          <w:tab w:val="right" w:leader="dot" w:pos="9298"/>
        </w:tabs>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4、引入动态管理制度，结合技术发展及时修订标准细则；</w:t>
      </w:r>
    </w:p>
    <w:p w14:paraId="745D5879">
      <w:pPr>
        <w:pStyle w:val="14"/>
        <w:tabs>
          <w:tab w:val="center" w:pos="4201"/>
          <w:tab w:val="right" w:leader="dot" w:pos="9298"/>
        </w:tabs>
        <w:spacing w:line="360" w:lineRule="auto"/>
        <w:ind w:firstLine="480"/>
        <w:rPr>
          <w:rFonts w:hint="default" w:ascii="Times New Roman" w:hAnsi="Times New Roman" w:eastAsia="宋体" w:cs="Times New Roman"/>
          <w:b/>
          <w:bCs w:val="0"/>
          <w:kern w:val="2"/>
          <w:sz w:val="24"/>
          <w:szCs w:val="24"/>
          <w:lang w:val="en-US" w:eastAsia="zh-CN" w:bidi="ar-SA"/>
        </w:rPr>
      </w:pPr>
      <w:r>
        <w:rPr>
          <w:rFonts w:hint="default" w:ascii="Times New Roman" w:hAnsi="Times New Roman" w:cs="Times New Roman"/>
          <w:kern w:val="2"/>
          <w:sz w:val="24"/>
          <w:szCs w:val="24"/>
        </w:rPr>
        <w:t>5、鼓励企业间共享最佳实践案例，形成行业合力。</w:t>
      </w:r>
    </w:p>
    <w:p w14:paraId="275D76F4">
      <w:pPr>
        <w:numPr>
          <w:ilvl w:val="0"/>
          <w:numId w:val="0"/>
        </w:numPr>
        <w:adjustRightInd w:val="0"/>
        <w:snapToGrid w:val="0"/>
        <w:spacing w:before="156" w:beforeLines="50" w:line="360" w:lineRule="auto"/>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eastAsia="宋体" w:cs="Times New Roman"/>
          <w:b/>
          <w:bCs w:val="0"/>
          <w:kern w:val="2"/>
          <w:sz w:val="24"/>
          <w:szCs w:val="24"/>
          <w:lang w:val="en-US" w:eastAsia="zh-CN" w:bidi="ar-SA"/>
        </w:rPr>
        <w:t>九、</w:t>
      </w:r>
      <w:r>
        <w:rPr>
          <w:rFonts w:hint="default" w:ascii="Times New Roman" w:hAnsi="Times New Roman" w:cs="Times New Roman"/>
          <w:b/>
          <w:sz w:val="24"/>
          <w:szCs w:val="24"/>
        </w:rPr>
        <w:t>替代或</w:t>
      </w:r>
      <w:r>
        <w:rPr>
          <w:rFonts w:hint="default" w:ascii="Times New Roman" w:hAnsi="Times New Roman" w:cs="Times New Roman"/>
          <w:b/>
          <w:color w:val="000000"/>
          <w:sz w:val="24"/>
          <w:szCs w:val="24"/>
        </w:rPr>
        <w:t>废止现行相关标准的建议</w:t>
      </w:r>
    </w:p>
    <w:p w14:paraId="204D91C7">
      <w:pPr>
        <w:numPr>
          <w:ilvl w:val="0"/>
          <w:numId w:val="0"/>
        </w:numPr>
        <w:adjustRightInd w:val="0"/>
        <w:snapToGrid w:val="0"/>
        <w:spacing w:before="156" w:beforeLines="50" w:line="360" w:lineRule="auto"/>
        <w:ind w:firstLine="480" w:firstLineChars="200"/>
        <w:rPr>
          <w:rFonts w:hint="default" w:ascii="Times New Roman" w:hAnsi="Times New Roman" w:eastAsia="宋体" w:cs="Times New Roman"/>
          <w:b w:val="0"/>
          <w:bCs/>
          <w:kern w:val="2"/>
          <w:sz w:val="24"/>
          <w:szCs w:val="24"/>
          <w:lang w:val="en-US" w:eastAsia="zh-CN" w:bidi="ar-SA"/>
        </w:rPr>
      </w:pPr>
      <w:r>
        <w:rPr>
          <w:rFonts w:hint="default" w:ascii="Times New Roman" w:hAnsi="Times New Roman" w:eastAsia="宋体" w:cs="Times New Roman"/>
          <w:b w:val="0"/>
          <w:bCs/>
          <w:kern w:val="2"/>
          <w:sz w:val="24"/>
          <w:szCs w:val="24"/>
          <w:lang w:val="en-US" w:eastAsia="zh-CN" w:bidi="ar-SA"/>
        </w:rPr>
        <w:t>无。</w:t>
      </w:r>
    </w:p>
    <w:p w14:paraId="731DD45B">
      <w:pPr>
        <w:numPr>
          <w:ilvl w:val="0"/>
          <w:numId w:val="0"/>
        </w:numPr>
        <w:adjustRightInd w:val="0"/>
        <w:snapToGrid w:val="0"/>
        <w:spacing w:before="156" w:beforeLines="50" w:line="360" w:lineRule="auto"/>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eastAsia="宋体" w:cs="Times New Roman"/>
          <w:b/>
          <w:bCs w:val="0"/>
          <w:kern w:val="2"/>
          <w:sz w:val="24"/>
          <w:szCs w:val="24"/>
          <w:lang w:val="en-US" w:eastAsia="zh-CN" w:bidi="ar-SA"/>
        </w:rPr>
        <w:t>十、</w:t>
      </w:r>
      <w:r>
        <w:rPr>
          <w:rFonts w:hint="default" w:ascii="Times New Roman" w:hAnsi="Times New Roman" w:eastAsia="宋体" w:cs="Times New Roman"/>
          <w:b/>
          <w:bCs w:val="0"/>
          <w:kern w:val="2"/>
          <w:sz w:val="24"/>
          <w:szCs w:val="24"/>
          <w:lang w:val="en-US" w:eastAsia="zh-CN" w:bidi="ar-SA"/>
        </w:rPr>
        <w:t>其他应予说明的事项</w:t>
      </w:r>
    </w:p>
    <w:p w14:paraId="08C708B6">
      <w:pPr>
        <w:pStyle w:val="5"/>
        <w:numPr>
          <w:ilvl w:val="0"/>
          <w:numId w:val="0"/>
        </w:numPr>
        <w:spacing w:line="360" w:lineRule="auto"/>
        <w:ind w:leftChars="-200" w:firstLine="960" w:firstLineChars="400"/>
        <w:rPr>
          <w:rFonts w:hint="default" w:ascii="Times New Roman" w:hAnsi="Times New Roman" w:eastAsia="宋体" w:cs="Times New Roman"/>
          <w:kern w:val="0"/>
          <w:sz w:val="24"/>
          <w:szCs w:val="24"/>
        </w:rPr>
      </w:pPr>
      <w:r>
        <w:rPr>
          <w:rFonts w:hint="default" w:ascii="Times New Roman" w:hAnsi="Times New Roman" w:eastAsia="宋体" w:cs="Times New Roman"/>
          <w:kern w:val="2"/>
          <w:sz w:val="24"/>
          <w:szCs w:val="24"/>
          <w:lang w:val="en-US" w:eastAsia="zh-CN" w:bidi="ar-SA"/>
        </w:rPr>
        <w:t>无。</w:t>
      </w:r>
    </w:p>
    <w:p w14:paraId="5B4E125B">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jc w:val="righ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《出版业人工智能</w:t>
      </w:r>
      <w:r>
        <w:rPr>
          <w:rFonts w:hint="default" w:ascii="Times New Roman" w:hAnsi="Times New Roman" w:eastAsia="宋体" w:cs="Times New Roman"/>
          <w:sz w:val="24"/>
          <w:szCs w:val="24"/>
          <w:lang w:val="en-US" w:eastAsia="zh-CN"/>
        </w:rPr>
        <w:t>语料加工</w:t>
      </w:r>
      <w:r>
        <w:rPr>
          <w:rFonts w:hint="default" w:ascii="Times New Roman" w:hAnsi="Times New Roman" w:eastAsia="宋体" w:cs="Times New Roman"/>
          <w:sz w:val="24"/>
          <w:szCs w:val="24"/>
          <w:lang w:eastAsia="zh-CN"/>
        </w:rPr>
        <w:t>要求》行业标准起草组</w:t>
      </w:r>
    </w:p>
    <w:p w14:paraId="5A43BA41">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line="360" w:lineRule="auto"/>
        <w:ind w:leftChars="1600" w:firstLine="480" w:firstLineChars="200"/>
        <w:jc w:val="center"/>
        <w:textAlignment w:val="auto"/>
        <w:rPr>
          <w:rFonts w:hint="default" w:ascii="Times New Roman" w:hAnsi="Times New Roman" w:cs="Times New Roman"/>
        </w:rPr>
      </w:pPr>
      <w:r>
        <w:rPr>
          <w:rFonts w:hint="default" w:ascii="Times New Roman" w:hAnsi="Times New Roman" w:eastAsia="宋体" w:cs="Times New Roman"/>
          <w:sz w:val="24"/>
          <w:szCs w:val="24"/>
          <w:lang w:eastAsia="zh-CN"/>
        </w:rPr>
        <w:t>2026年5月</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eastAsia="zh-CN"/>
        </w:rPr>
        <w:t>日</w:t>
      </w:r>
    </w:p>
    <w:sectPr>
      <w:headerReference r:id="rId3" w:type="default"/>
      <w:footerReference r:id="rId4" w:type="default"/>
      <w:footerReference r:id="rId5" w:type="even"/>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FFC13">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461C9F">
                          <w:pPr>
                            <w:pStyle w:val="6"/>
                            <w:rPr>
                              <w:rStyle w:val="12"/>
                            </w:rPr>
                          </w:pPr>
                          <w:r>
                            <w:fldChar w:fldCharType="begin"/>
                          </w:r>
                          <w:r>
                            <w:rPr>
                              <w:rStyle w:val="12"/>
                            </w:rPr>
                            <w:instrText xml:space="preserve">PAGE  </w:instrText>
                          </w:r>
                          <w:r>
                            <w:fldChar w:fldCharType="separate"/>
                          </w:r>
                          <w:r>
                            <w:rPr>
                              <w:rStyle w:val="12"/>
                            </w:rPr>
                            <w:t>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C461C9F">
                    <w:pPr>
                      <w:pStyle w:val="6"/>
                      <w:rPr>
                        <w:rStyle w:val="12"/>
                      </w:rPr>
                    </w:pPr>
                    <w:r>
                      <w:fldChar w:fldCharType="begin"/>
                    </w:r>
                    <w:r>
                      <w:rPr>
                        <w:rStyle w:val="12"/>
                      </w:rPr>
                      <w:instrText xml:space="preserve">PAGE  </w:instrText>
                    </w:r>
                    <w:r>
                      <w:fldChar w:fldCharType="separate"/>
                    </w:r>
                    <w:r>
                      <w:rPr>
                        <w:rStyle w:val="12"/>
                      </w:rP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D9E73">
    <w:pPr>
      <w:pStyle w:val="6"/>
      <w:framePr w:wrap="around" w:vAnchor="text" w:hAnchor="margin" w:xAlign="right" w:y="1"/>
      <w:rPr>
        <w:rStyle w:val="12"/>
      </w:rPr>
    </w:pPr>
    <w:r>
      <w:fldChar w:fldCharType="begin"/>
    </w:r>
    <w:r>
      <w:rPr>
        <w:rStyle w:val="12"/>
      </w:rPr>
      <w:instrText xml:space="preserve">PAGE  </w:instrText>
    </w:r>
    <w:r>
      <w:fldChar w:fldCharType="end"/>
    </w:r>
  </w:p>
  <w:p w14:paraId="49F56A07">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4663F">
    <w:pPr>
      <w:pStyle w:val="7"/>
      <w:rPr>
        <w:rFonts w:hint="default" w:eastAsia="宋体"/>
        <w:lang w:val="en-US" w:eastAsia="zh-CN"/>
      </w:rPr>
    </w:pPr>
    <w:r>
      <w:rPr>
        <w:rFonts w:hint="eastAsia"/>
        <w:lang w:val="en-US" w:eastAsia="zh-CN"/>
      </w:rPr>
      <w:t>国家标准征求意见阶段资料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F7565D"/>
    <w:multiLevelType w:val="singleLevel"/>
    <w:tmpl w:val="4EF7565D"/>
    <w:lvl w:ilvl="0" w:tentative="0">
      <w:start w:val="2"/>
      <w:numFmt w:val="chineseCounting"/>
      <w:suff w:val="nothing"/>
      <w:lvlText w:val="（%1）"/>
      <w:lvlJc w:val="left"/>
      <w:rPr>
        <w:rFonts w:hint="eastAsia"/>
      </w:rPr>
    </w:lvl>
  </w:abstractNum>
  <w:abstractNum w:abstractNumId="1">
    <w:nsid w:val="764F93D8"/>
    <w:multiLevelType w:val="singleLevel"/>
    <w:tmpl w:val="764F93D8"/>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8B21C5"/>
    <w:rsid w:val="010E3BC9"/>
    <w:rsid w:val="01101FE2"/>
    <w:rsid w:val="026305F6"/>
    <w:rsid w:val="0F2F360E"/>
    <w:rsid w:val="119360D6"/>
    <w:rsid w:val="11E15093"/>
    <w:rsid w:val="129E2F84"/>
    <w:rsid w:val="12B207DE"/>
    <w:rsid w:val="12EF3492"/>
    <w:rsid w:val="13710699"/>
    <w:rsid w:val="15003A82"/>
    <w:rsid w:val="155E69FB"/>
    <w:rsid w:val="15B82327"/>
    <w:rsid w:val="168B21C5"/>
    <w:rsid w:val="17D67188"/>
    <w:rsid w:val="1F7E192E"/>
    <w:rsid w:val="1FAC00DA"/>
    <w:rsid w:val="218D2B42"/>
    <w:rsid w:val="24497549"/>
    <w:rsid w:val="27F751B9"/>
    <w:rsid w:val="27F76F67"/>
    <w:rsid w:val="294855A0"/>
    <w:rsid w:val="29936A22"/>
    <w:rsid w:val="29A924E3"/>
    <w:rsid w:val="2BC41856"/>
    <w:rsid w:val="2BF0173C"/>
    <w:rsid w:val="2C866B0B"/>
    <w:rsid w:val="2E827CE4"/>
    <w:rsid w:val="2EC35DF5"/>
    <w:rsid w:val="302E2E61"/>
    <w:rsid w:val="35103416"/>
    <w:rsid w:val="35E445C5"/>
    <w:rsid w:val="366E2AEA"/>
    <w:rsid w:val="37667C65"/>
    <w:rsid w:val="3B082DE1"/>
    <w:rsid w:val="3C981CB0"/>
    <w:rsid w:val="3D540560"/>
    <w:rsid w:val="41F8595E"/>
    <w:rsid w:val="450B59A8"/>
    <w:rsid w:val="45790B64"/>
    <w:rsid w:val="485D476D"/>
    <w:rsid w:val="49D24CE6"/>
    <w:rsid w:val="4DE54344"/>
    <w:rsid w:val="4FAA2BC4"/>
    <w:rsid w:val="50AA2368"/>
    <w:rsid w:val="50B415EA"/>
    <w:rsid w:val="5402441A"/>
    <w:rsid w:val="59E52814"/>
    <w:rsid w:val="5B767BC7"/>
    <w:rsid w:val="5EA13D2F"/>
    <w:rsid w:val="6AB51D8E"/>
    <w:rsid w:val="6EA13F6B"/>
    <w:rsid w:val="70B14DA6"/>
    <w:rsid w:val="752124FA"/>
    <w:rsid w:val="76634D94"/>
    <w:rsid w:val="76A07D97"/>
    <w:rsid w:val="76C114CF"/>
    <w:rsid w:val="79E80244"/>
    <w:rsid w:val="7AF00FBF"/>
    <w:rsid w:val="7D5471E5"/>
    <w:rsid w:val="7EB9132B"/>
    <w:rsid w:val="7F27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firstLine="0" w:firstLineChars="0"/>
      <w:jc w:val="center"/>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ind w:firstLine="0" w:firstLineChars="0"/>
      <w:outlineLvl w:val="1"/>
    </w:pPr>
    <w:rPr>
      <w:rFonts w:ascii="Arial" w:hAnsi="Arial" w:eastAsia="仿宋"/>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line="400" w:lineRule="exact"/>
    </w:pPr>
    <w:rPr>
      <w:sz w:val="24"/>
    </w:rPr>
  </w:style>
  <w:style w:type="paragraph" w:styleId="5">
    <w:name w:val="Body Text Indent"/>
    <w:basedOn w:val="1"/>
    <w:qFormat/>
    <w:uiPriority w:val="0"/>
    <w:pPr>
      <w:spacing w:line="480" w:lineRule="exact"/>
      <w:ind w:left="480" w:hanging="480" w:hangingChars="200"/>
    </w:pPr>
    <w:rPr>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0"/>
    <w:pPr>
      <w:spacing w:before="240" w:after="60"/>
      <w:jc w:val="center"/>
      <w:outlineLvl w:val="0"/>
    </w:pPr>
    <w:rPr>
      <w:rFonts w:ascii="Cambria" w:hAnsi="Cambria" w:cs="Times New Roman"/>
      <w:b/>
      <w:bCs/>
      <w:sz w:val="32"/>
      <w:szCs w:val="32"/>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style>
  <w:style w:type="paragraph" w:customStyle="1" w:styleId="13">
    <w:name w:val="图例"/>
    <w:basedOn w:val="1"/>
    <w:next w:val="1"/>
    <w:qFormat/>
    <w:uiPriority w:val="0"/>
    <w:pPr>
      <w:jc w:val="center"/>
    </w:pPr>
    <w:rPr>
      <w:rFonts w:ascii="Times New Roman" w:hAnsi="Times New Roman" w:eastAsia="仿宋" w:cs="Times New Roman"/>
      <w:b/>
      <w:sz w:val="21"/>
    </w:rPr>
  </w:style>
  <w:style w:type="paragraph" w:customStyle="1" w:styleId="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4807</Words>
  <Characters>5054</Characters>
  <Lines>0</Lines>
  <Paragraphs>0</Paragraphs>
  <TotalTime>0</TotalTime>
  <ScaleCrop>false</ScaleCrop>
  <LinksUpToDate>false</LinksUpToDate>
  <CharactersWithSpaces>5096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2026-05-08T07:18:00Z</dcterms:created>
  <dc:creator>噔噔噔噔噔噔噔噔噔噔噔噔</dc:creator>
  <cp:lastModifiedBy>噔噔噔噔噔噔噔噔噔噔噔噔</cp:lastModifiedBy>
  <dcterms:modified xsi:type="dcterms:W3CDTF">2026-05-11T09:33:11Z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4FA34AA2414E43C7BEB42C171ABA4C34_13</vt:lpwstr>
  </property>
  <property fmtid="{D5CDD505-2E9C-101B-9397-08002B2CF9AE}" pid="4" name="KSOTemplateDocerSaveRecord">
    <vt:lpwstr>eyJoZGlkIjoiODIzYTA5MTdkNjY3OTU5YjI5ZjY5YmQ5YzljY2U1NzQiLCJ1c2VySWQiOiIxMDY4NzQ0MTE1In0=</vt:lpwstr>
  </property>
</Properties>
</file>